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5" w:rsidRPr="00736100" w:rsidRDefault="00F40285" w:rsidP="00117356">
      <w:pPr>
        <w:rPr>
          <w:color w:val="FF0000"/>
          <w:sz w:val="28"/>
          <w:szCs w:val="28"/>
        </w:rPr>
      </w:pPr>
      <w:r w:rsidRPr="00736100">
        <w:rPr>
          <w:color w:val="FF0000"/>
          <w:sz w:val="28"/>
          <w:szCs w:val="28"/>
        </w:rPr>
        <w:t>Egregio/Gentile Dottore/Dottoressa,</w:t>
      </w:r>
    </w:p>
    <w:p w:rsidR="004C7721" w:rsidRDefault="004C7721" w:rsidP="00117356">
      <w:pPr>
        <w:spacing w:after="120"/>
        <w:rPr>
          <w:sz w:val="28"/>
          <w:szCs w:val="28"/>
        </w:rPr>
      </w:pPr>
    </w:p>
    <w:p w:rsidR="00F40285" w:rsidRDefault="00F40285" w:rsidP="00117356">
      <w:pPr>
        <w:spacing w:after="120"/>
        <w:rPr>
          <w:sz w:val="28"/>
          <w:szCs w:val="28"/>
        </w:rPr>
      </w:pPr>
    </w:p>
    <w:p w:rsidR="00F40285" w:rsidRDefault="00F40285" w:rsidP="00117356">
      <w:pPr>
        <w:spacing w:after="120"/>
        <w:rPr>
          <w:sz w:val="28"/>
          <w:szCs w:val="28"/>
        </w:rPr>
      </w:pPr>
    </w:p>
    <w:p w:rsidR="004C7721" w:rsidRPr="00736100" w:rsidRDefault="004C7721" w:rsidP="00117356">
      <w:pPr>
        <w:spacing w:after="120"/>
        <w:rPr>
          <w:sz w:val="28"/>
          <w:szCs w:val="28"/>
        </w:rPr>
      </w:pPr>
      <w:r w:rsidRPr="00736100">
        <w:rPr>
          <w:sz w:val="28"/>
          <w:szCs w:val="28"/>
        </w:rPr>
        <w:t xml:space="preserve">Oggetto: vaccinazione </w:t>
      </w:r>
      <w:r w:rsidR="00E642F5">
        <w:rPr>
          <w:sz w:val="28"/>
          <w:szCs w:val="28"/>
        </w:rPr>
        <w:t xml:space="preserve">obbligatoria </w:t>
      </w:r>
      <w:r w:rsidRPr="00736100">
        <w:rPr>
          <w:sz w:val="28"/>
          <w:szCs w:val="28"/>
        </w:rPr>
        <w:t>anti Sars-Cov2</w:t>
      </w:r>
      <w:r w:rsidR="00F40285">
        <w:rPr>
          <w:sz w:val="28"/>
          <w:szCs w:val="28"/>
        </w:rPr>
        <w:t xml:space="preserve">. Decreti Legge e relative conversioni in legge, dal </w:t>
      </w:r>
      <w:r w:rsidR="00F40285" w:rsidRPr="00F40285">
        <w:rPr>
          <w:sz w:val="28"/>
          <w:szCs w:val="28"/>
        </w:rPr>
        <w:t>DECRETO-LEGGE 1° aprile 2021, n. 44</w:t>
      </w:r>
      <w:r w:rsidR="00F40285">
        <w:rPr>
          <w:sz w:val="28"/>
          <w:szCs w:val="28"/>
        </w:rPr>
        <w:t xml:space="preserve"> al </w:t>
      </w:r>
      <w:r w:rsidR="00F40285" w:rsidRPr="00F40285">
        <w:rPr>
          <w:sz w:val="28"/>
          <w:szCs w:val="28"/>
        </w:rPr>
        <w:t>DECRETO-LEGGE 7 gennaio 2022, n. 1</w:t>
      </w:r>
      <w:r w:rsidR="00F40285">
        <w:rPr>
          <w:sz w:val="28"/>
          <w:szCs w:val="28"/>
        </w:rPr>
        <w:t>.</w:t>
      </w:r>
    </w:p>
    <w:p w:rsidR="004C7721" w:rsidRPr="00736100" w:rsidRDefault="004C7721" w:rsidP="00117356">
      <w:pPr>
        <w:spacing w:after="120"/>
        <w:rPr>
          <w:sz w:val="28"/>
          <w:szCs w:val="28"/>
        </w:rPr>
      </w:pPr>
    </w:p>
    <w:p w:rsidR="004C7721" w:rsidRPr="00736100" w:rsidRDefault="004C7721" w:rsidP="00117356">
      <w:pPr>
        <w:spacing w:after="120"/>
        <w:rPr>
          <w:sz w:val="28"/>
          <w:szCs w:val="28"/>
        </w:rPr>
      </w:pPr>
    </w:p>
    <w:p w:rsidR="00E642F5" w:rsidRDefault="004C7721" w:rsidP="00117356">
      <w:pPr>
        <w:spacing w:after="120"/>
        <w:rPr>
          <w:sz w:val="28"/>
          <w:szCs w:val="28"/>
        </w:rPr>
      </w:pPr>
      <w:r w:rsidRPr="00736100">
        <w:rPr>
          <w:sz w:val="28"/>
          <w:szCs w:val="28"/>
        </w:rPr>
        <w:t xml:space="preserve">Il DL 1° aprile 2021 n. 44, </w:t>
      </w:r>
      <w:r w:rsidR="00E642F5">
        <w:rPr>
          <w:sz w:val="28"/>
          <w:szCs w:val="28"/>
        </w:rPr>
        <w:t xml:space="preserve">così come i successivi decreti governativi – convertiti in legge o in attesa di conversione - </w:t>
      </w:r>
      <w:r w:rsidRPr="00736100">
        <w:rPr>
          <w:sz w:val="28"/>
          <w:szCs w:val="28"/>
        </w:rPr>
        <w:t xml:space="preserve">come noto, </w:t>
      </w:r>
      <w:r w:rsidRPr="00736100">
        <w:rPr>
          <w:b/>
          <w:bCs/>
          <w:sz w:val="28"/>
          <w:szCs w:val="28"/>
        </w:rPr>
        <w:t>pon</w:t>
      </w:r>
      <w:r w:rsidR="00E642F5">
        <w:rPr>
          <w:b/>
          <w:bCs/>
          <w:sz w:val="28"/>
          <w:szCs w:val="28"/>
        </w:rPr>
        <w:t>gono</w:t>
      </w:r>
      <w:r w:rsidRPr="00736100">
        <w:rPr>
          <w:b/>
          <w:bCs/>
          <w:sz w:val="28"/>
          <w:szCs w:val="28"/>
        </w:rPr>
        <w:t xml:space="preserve"> sotto la sua responsabilità l’accertamento di qualsivoglia “pericolo per la salute</w:t>
      </w:r>
      <w:r w:rsidRPr="00736100">
        <w:rPr>
          <w:sz w:val="28"/>
          <w:szCs w:val="28"/>
        </w:rPr>
        <w:t>” (Art. 4, comma 2)</w:t>
      </w:r>
      <w:r w:rsidR="00E642F5">
        <w:rPr>
          <w:sz w:val="28"/>
          <w:szCs w:val="28"/>
        </w:rPr>
        <w:t>, ovvero determinare “</w:t>
      </w:r>
      <w:r w:rsidR="00E642F5" w:rsidRPr="00E642F5">
        <w:rPr>
          <w:b/>
          <w:bCs/>
          <w:sz w:val="28"/>
          <w:szCs w:val="28"/>
        </w:rPr>
        <w:t>altra ragione di assoluta e oggettiva impossibilità</w:t>
      </w:r>
      <w:r w:rsidR="00E642F5">
        <w:rPr>
          <w:sz w:val="28"/>
          <w:szCs w:val="28"/>
        </w:rPr>
        <w:t>”</w:t>
      </w:r>
      <w:r w:rsidRPr="00736100">
        <w:rPr>
          <w:sz w:val="28"/>
          <w:szCs w:val="28"/>
        </w:rPr>
        <w:t xml:space="preserve"> </w:t>
      </w:r>
      <w:r w:rsidR="00E642F5">
        <w:rPr>
          <w:sz w:val="28"/>
          <w:szCs w:val="28"/>
        </w:rPr>
        <w:t>a sottoporsi all’atto vaccinale in oggetto.</w:t>
      </w:r>
    </w:p>
    <w:p w:rsidR="004C7721" w:rsidRPr="00736100" w:rsidRDefault="00E642F5" w:rsidP="00117356">
      <w:pPr>
        <w:spacing w:after="120"/>
        <w:rPr>
          <w:sz w:val="28"/>
          <w:szCs w:val="28"/>
        </w:rPr>
      </w:pPr>
      <w:r>
        <w:rPr>
          <w:sz w:val="28"/>
          <w:szCs w:val="28"/>
        </w:rPr>
        <w:t xml:space="preserve">Trattasi, quindi, di un </w:t>
      </w:r>
      <w:r w:rsidR="004C7721" w:rsidRPr="00736100">
        <w:rPr>
          <w:sz w:val="28"/>
          <w:szCs w:val="28"/>
        </w:rPr>
        <w:t xml:space="preserve">atto medico </w:t>
      </w:r>
      <w:r>
        <w:rPr>
          <w:sz w:val="28"/>
          <w:szCs w:val="28"/>
        </w:rPr>
        <w:t xml:space="preserve">indispensabile </w:t>
      </w:r>
      <w:r w:rsidR="004C7721" w:rsidRPr="00736100">
        <w:rPr>
          <w:sz w:val="28"/>
          <w:szCs w:val="28"/>
        </w:rPr>
        <w:t xml:space="preserve">che precede la somministrazione di </w:t>
      </w:r>
      <w:r>
        <w:rPr>
          <w:sz w:val="28"/>
          <w:szCs w:val="28"/>
        </w:rPr>
        <w:t xml:space="preserve">questo farmaco, messo a disposizione dal nostro SSN per </w:t>
      </w:r>
      <w:r w:rsidR="004C7721" w:rsidRPr="00300491">
        <w:rPr>
          <w:i/>
          <w:iCs/>
          <w:sz w:val="28"/>
          <w:szCs w:val="28"/>
        </w:rPr>
        <w:t>prevenire l’infezione da Sars-CoV-2</w:t>
      </w:r>
      <w:r w:rsidR="004C7721" w:rsidRPr="00736100">
        <w:rPr>
          <w:sz w:val="28"/>
          <w:szCs w:val="28"/>
        </w:rPr>
        <w:t>.</w:t>
      </w:r>
    </w:p>
    <w:p w:rsidR="00E642F5" w:rsidRDefault="00E642F5" w:rsidP="00117356">
      <w:pPr>
        <w:spacing w:after="120"/>
        <w:rPr>
          <w:sz w:val="28"/>
          <w:szCs w:val="28"/>
        </w:rPr>
      </w:pPr>
      <w:r>
        <w:rPr>
          <w:sz w:val="28"/>
          <w:szCs w:val="28"/>
        </w:rPr>
        <w:t>Come stabilito dalla C</w:t>
      </w:r>
      <w:r w:rsidR="004C7721" w:rsidRPr="00736100">
        <w:rPr>
          <w:sz w:val="28"/>
          <w:szCs w:val="28"/>
        </w:rPr>
        <w:t>ircolare del Ministero della Salute del 25/03/2021</w:t>
      </w:r>
      <w:r>
        <w:rPr>
          <w:sz w:val="28"/>
          <w:szCs w:val="28"/>
        </w:rPr>
        <w:t xml:space="preserve">, si prevede che l’interessato, attraverso la firma di apposita modulistica, </w:t>
      </w:r>
      <w:r w:rsidR="004C7721" w:rsidRPr="00736100">
        <w:rPr>
          <w:sz w:val="28"/>
          <w:szCs w:val="28"/>
        </w:rPr>
        <w:t xml:space="preserve">esprima il </w:t>
      </w:r>
      <w:r>
        <w:rPr>
          <w:sz w:val="28"/>
          <w:szCs w:val="28"/>
        </w:rPr>
        <w:t xml:space="preserve">proprio </w:t>
      </w:r>
      <w:r w:rsidR="004C7721" w:rsidRPr="00736100">
        <w:rPr>
          <w:sz w:val="28"/>
          <w:szCs w:val="28"/>
        </w:rPr>
        <w:t xml:space="preserve">consenso informato all’inoculazione di un </w:t>
      </w:r>
      <w:r w:rsidRPr="00E642F5">
        <w:rPr>
          <w:sz w:val="28"/>
          <w:szCs w:val="28"/>
        </w:rPr>
        <w:t xml:space="preserve">tale </w:t>
      </w:r>
      <w:r w:rsidR="004C7721" w:rsidRPr="00E642F5">
        <w:rPr>
          <w:sz w:val="28"/>
          <w:szCs w:val="28"/>
        </w:rPr>
        <w:t xml:space="preserve">farmaco </w:t>
      </w:r>
      <w:r>
        <w:rPr>
          <w:sz w:val="28"/>
          <w:szCs w:val="28"/>
        </w:rPr>
        <w:t xml:space="preserve">(che allo stato di fatto risulta essere ancora in una fase </w:t>
      </w:r>
      <w:r w:rsidR="004C7721" w:rsidRPr="00E642F5">
        <w:rPr>
          <w:sz w:val="28"/>
          <w:szCs w:val="28"/>
        </w:rPr>
        <w:t>sperimentale</w:t>
      </w:r>
      <w:r>
        <w:rPr>
          <w:sz w:val="28"/>
          <w:szCs w:val="28"/>
        </w:rPr>
        <w:t>).</w:t>
      </w:r>
    </w:p>
    <w:p w:rsidR="004C7721" w:rsidRPr="00736100" w:rsidRDefault="004C7721" w:rsidP="00117356">
      <w:pPr>
        <w:spacing w:after="120"/>
        <w:rPr>
          <w:sz w:val="28"/>
          <w:szCs w:val="28"/>
        </w:rPr>
      </w:pPr>
      <w:r w:rsidRPr="00736100">
        <w:rPr>
          <w:sz w:val="28"/>
          <w:szCs w:val="28"/>
        </w:rPr>
        <w:t>Appellandomi al Principio di Precauzione,</w:t>
      </w:r>
    </w:p>
    <w:p w:rsidR="004C7721" w:rsidRPr="00736100" w:rsidRDefault="004C7721" w:rsidP="00117356">
      <w:pPr>
        <w:spacing w:after="120"/>
        <w:rPr>
          <w:sz w:val="28"/>
          <w:szCs w:val="28"/>
        </w:rPr>
      </w:pPr>
    </w:p>
    <w:p w:rsidR="004C7721" w:rsidRPr="00736100" w:rsidRDefault="004C7721" w:rsidP="006C7B9E">
      <w:pPr>
        <w:pStyle w:val="Nessunaspaziatura"/>
        <w:spacing w:after="120"/>
        <w:jc w:val="center"/>
        <w:rPr>
          <w:rFonts w:cs="Calibri"/>
          <w:b/>
          <w:bCs/>
          <w:sz w:val="28"/>
          <w:szCs w:val="28"/>
        </w:rPr>
      </w:pPr>
      <w:r w:rsidRPr="00736100">
        <w:rPr>
          <w:rFonts w:cs="Calibri"/>
          <w:b/>
          <w:bCs/>
          <w:sz w:val="28"/>
          <w:szCs w:val="28"/>
        </w:rPr>
        <w:t>DICHIARO QUANTO SEGUE</w:t>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Di aver appreso dalla Circolare del Ministero della Salute prot. N° 12238-25/03/2021-DGPRE che, firmando apposito modulo, possa esprimere il mio consenso informato attraverso:</w:t>
      </w:r>
    </w:p>
    <w:p w:rsidR="004C7721" w:rsidRPr="00736100" w:rsidRDefault="004C7721" w:rsidP="00117356">
      <w:pPr>
        <w:pStyle w:val="Nessunaspaziatura"/>
        <w:numPr>
          <w:ilvl w:val="1"/>
          <w:numId w:val="1"/>
        </w:numPr>
        <w:spacing w:after="120"/>
        <w:rPr>
          <w:rFonts w:cs="Calibri"/>
          <w:sz w:val="28"/>
          <w:szCs w:val="28"/>
        </w:rPr>
      </w:pPr>
      <w:r w:rsidRPr="00736100">
        <w:rPr>
          <w:rFonts w:cs="Calibri"/>
          <w:sz w:val="28"/>
          <w:szCs w:val="28"/>
        </w:rPr>
        <w:t>la comprensione della “Nota Informativa” allegata al “Modulo di consenso vaccinazione anti-covid-19” relativa ai vaccini per Sars-Cov2 attualmente disponibili e compresi nel piano vaccinale di cui all’articolo 1, comma 457, della legge 30 dicembre 2020, n. 178. In particolare, sarà necessario valutare in tempo utile il vaccino che mi dovrebbe essere somministrato, al fine di acquisire le informazioni particolari dai relativi documenti pubblici emessi dalle competenti autorità, ovvero le indicazioni contenute nel provvedimento di autorizzazione all'immissione in commercio (</w:t>
      </w:r>
      <w:r w:rsidRPr="00E642F5">
        <w:rPr>
          <w:rFonts w:cs="Calibri"/>
          <w:i/>
          <w:iCs/>
          <w:sz w:val="28"/>
          <w:szCs w:val="28"/>
        </w:rPr>
        <w:t xml:space="preserve">quali Foglio Illustrativo, Riassunto delle </w:t>
      </w:r>
      <w:r w:rsidRPr="00E642F5">
        <w:rPr>
          <w:rFonts w:cs="Calibri"/>
          <w:i/>
          <w:iCs/>
          <w:sz w:val="28"/>
          <w:szCs w:val="28"/>
        </w:rPr>
        <w:lastRenderedPageBreak/>
        <w:t xml:space="preserve">Caratteristiche di Prodotto, </w:t>
      </w:r>
      <w:proofErr w:type="spellStart"/>
      <w:r w:rsidRPr="00E642F5">
        <w:rPr>
          <w:rFonts w:cs="Calibri"/>
          <w:i/>
          <w:iCs/>
          <w:sz w:val="28"/>
          <w:szCs w:val="28"/>
        </w:rPr>
        <w:t>Assessment</w:t>
      </w:r>
      <w:proofErr w:type="spellEnd"/>
      <w:r w:rsidRPr="00E642F5">
        <w:rPr>
          <w:rFonts w:cs="Calibri"/>
          <w:i/>
          <w:iCs/>
          <w:sz w:val="28"/>
          <w:szCs w:val="28"/>
        </w:rPr>
        <w:t xml:space="preserve"> Report, </w:t>
      </w:r>
      <w:proofErr w:type="spellStart"/>
      <w:r w:rsidRPr="00E642F5">
        <w:rPr>
          <w:rFonts w:cs="Calibri"/>
          <w:i/>
          <w:iCs/>
          <w:sz w:val="28"/>
          <w:szCs w:val="28"/>
        </w:rPr>
        <w:t>Risk</w:t>
      </w:r>
      <w:proofErr w:type="spellEnd"/>
      <w:r w:rsidRPr="00E642F5">
        <w:rPr>
          <w:rFonts w:cs="Calibri"/>
          <w:i/>
          <w:iCs/>
          <w:sz w:val="28"/>
          <w:szCs w:val="28"/>
        </w:rPr>
        <w:t xml:space="preserve"> Management Plan</w:t>
      </w:r>
      <w:r w:rsidRPr="00736100">
        <w:rPr>
          <w:rFonts w:cs="Calibri"/>
          <w:sz w:val="28"/>
          <w:szCs w:val="28"/>
        </w:rPr>
        <w:t>);</w:t>
      </w:r>
    </w:p>
    <w:p w:rsidR="004C7721" w:rsidRPr="00736100" w:rsidRDefault="004C7721" w:rsidP="00117356">
      <w:pPr>
        <w:pStyle w:val="Nessunaspaziatura"/>
        <w:numPr>
          <w:ilvl w:val="1"/>
          <w:numId w:val="1"/>
        </w:numPr>
        <w:spacing w:after="120"/>
        <w:rPr>
          <w:rFonts w:cs="Calibri"/>
          <w:sz w:val="28"/>
          <w:szCs w:val="28"/>
        </w:rPr>
      </w:pPr>
      <w:r w:rsidRPr="00736100">
        <w:rPr>
          <w:rFonts w:cs="Calibri"/>
          <w:sz w:val="28"/>
          <w:szCs w:val="28"/>
        </w:rPr>
        <w:t>la comunicazione di episodi significativi nella mia storia clinica, di malattie presenti o pregresse, di eventuali terapie recenti o in corso;</w:t>
      </w:r>
    </w:p>
    <w:p w:rsidR="004C7721" w:rsidRPr="00736100" w:rsidRDefault="004C7721" w:rsidP="00117356">
      <w:pPr>
        <w:pStyle w:val="Nessunaspaziatura"/>
        <w:numPr>
          <w:ilvl w:val="1"/>
          <w:numId w:val="1"/>
        </w:numPr>
        <w:spacing w:after="120"/>
        <w:rPr>
          <w:rFonts w:cs="Calibri"/>
          <w:sz w:val="28"/>
          <w:szCs w:val="28"/>
        </w:rPr>
      </w:pPr>
      <w:r w:rsidRPr="00736100">
        <w:rPr>
          <w:rFonts w:cs="Calibri"/>
          <w:sz w:val="28"/>
          <w:szCs w:val="28"/>
        </w:rPr>
        <w:t>la formulazione di domande pertinenti riguardo a possibili correlazioni tra il farmaco e il mio stato di salute, atte a chiarire ogni mio possibile dubbio o timore su fattori che possano mettere in pericolo la mia salute o anche solo peggiorare il mio stato di salute e le condizioni di rischio per la mia persona.</w:t>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Che, sempre sulla base della Circolare del Ministero della Salute prot. N° 12238-25/03/2021-DGPRE e alle dichiarazioni rese a mezzo stampa dal Presidente della FNOMCEO, dott. Anelli, “</w:t>
      </w:r>
      <w:r w:rsidRPr="00736100">
        <w:rPr>
          <w:rFonts w:cs="Calibri"/>
          <w:i/>
          <w:iCs/>
          <w:sz w:val="28"/>
          <w:szCs w:val="28"/>
        </w:rPr>
        <w:t>le agenzie regolatorie dei farmaci, tra le quali EMA e AIFA, demandano la somministrazione dei vaccini alla prescrizione del medico. In questa fattispecie, la prescrizione è assolta con l’anamnesi, la valutazione clinica, la raccolta del consenso informato</w:t>
      </w:r>
      <w:r w:rsidRPr="00736100">
        <w:rPr>
          <w:rFonts w:cs="Calibri"/>
          <w:sz w:val="28"/>
          <w:szCs w:val="28"/>
        </w:rPr>
        <w:t>”</w:t>
      </w:r>
      <w:r w:rsidR="00766CE9">
        <w:rPr>
          <w:rStyle w:val="Rimandonotaapidipagina"/>
          <w:rFonts w:cs="Calibri"/>
          <w:sz w:val="28"/>
          <w:szCs w:val="28"/>
        </w:rPr>
        <w:footnoteReference w:id="1"/>
      </w:r>
      <w:r w:rsidRPr="00736100">
        <w:rPr>
          <w:rFonts w:cs="Calibri"/>
          <w:sz w:val="28"/>
          <w:szCs w:val="28"/>
        </w:rPr>
        <w:t>;</w:t>
      </w:r>
      <w:r w:rsidR="004E4106">
        <w:rPr>
          <w:rFonts w:cs="Calibri"/>
          <w:sz w:val="28"/>
          <w:szCs w:val="28"/>
        </w:rPr>
        <w:br/>
      </w:r>
    </w:p>
    <w:p w:rsidR="004C7721" w:rsidRPr="0083330C" w:rsidRDefault="004C7721" w:rsidP="0083330C">
      <w:pPr>
        <w:pStyle w:val="Nessunaspaziatura"/>
        <w:numPr>
          <w:ilvl w:val="0"/>
          <w:numId w:val="1"/>
        </w:numPr>
        <w:spacing w:after="120"/>
        <w:ind w:left="709"/>
        <w:rPr>
          <w:rFonts w:cs="Calibri"/>
          <w:sz w:val="28"/>
          <w:szCs w:val="28"/>
        </w:rPr>
      </w:pPr>
      <w:r w:rsidRPr="0083330C">
        <w:rPr>
          <w:rFonts w:cs="Calibri"/>
          <w:sz w:val="28"/>
          <w:szCs w:val="28"/>
        </w:rPr>
        <w:t xml:space="preserve">Che, sulla base del </w:t>
      </w:r>
      <w:r w:rsidR="00E642F5" w:rsidRPr="00156218">
        <w:rPr>
          <w:rFonts w:cs="Calibri"/>
          <w:color w:val="FF0000"/>
          <w:sz w:val="28"/>
          <w:szCs w:val="28"/>
        </w:rPr>
        <w:t xml:space="preserve">… </w:t>
      </w:r>
      <w:r w:rsidR="002610DB">
        <w:rPr>
          <w:rFonts w:cs="Calibri"/>
          <w:color w:val="FF0000"/>
          <w:sz w:val="28"/>
          <w:szCs w:val="28"/>
        </w:rPr>
        <w:t>[</w:t>
      </w:r>
      <w:r w:rsidR="00E642F5" w:rsidRPr="002610DB">
        <w:rPr>
          <w:rFonts w:cs="Calibri"/>
          <w:i/>
          <w:iCs/>
          <w:color w:val="FF0000"/>
          <w:sz w:val="28"/>
          <w:szCs w:val="28"/>
        </w:rPr>
        <w:t>riprendere il rapporto più recente disponibile</w:t>
      </w:r>
      <w:r w:rsidR="00907029">
        <w:rPr>
          <w:rFonts w:cs="Calibri"/>
          <w:i/>
          <w:iCs/>
          <w:color w:val="FF0000"/>
          <w:sz w:val="28"/>
          <w:szCs w:val="28"/>
        </w:rPr>
        <w:t xml:space="preserve"> e AGGIORNARE I DATI eventualmente</w:t>
      </w:r>
      <w:r w:rsidR="002610DB" w:rsidRPr="002610DB">
        <w:rPr>
          <w:rFonts w:cs="Calibri"/>
          <w:color w:val="FF0000"/>
          <w:sz w:val="28"/>
          <w:szCs w:val="28"/>
        </w:rPr>
        <w:t>]</w:t>
      </w:r>
      <w:r w:rsidR="00E642F5" w:rsidRPr="002610DB">
        <w:rPr>
          <w:rFonts w:cs="Calibri"/>
          <w:color w:val="FF0000"/>
          <w:sz w:val="28"/>
          <w:szCs w:val="28"/>
        </w:rPr>
        <w:t xml:space="preserve"> </w:t>
      </w:r>
      <w:r w:rsidR="00E642F5" w:rsidRPr="0083330C">
        <w:rPr>
          <w:rFonts w:cs="Calibri"/>
          <w:sz w:val="28"/>
          <w:szCs w:val="28"/>
        </w:rPr>
        <w:t>…</w:t>
      </w:r>
      <w:r w:rsidRPr="0083330C">
        <w:rPr>
          <w:rFonts w:cs="Calibri"/>
          <w:sz w:val="28"/>
          <w:szCs w:val="28"/>
        </w:rPr>
        <w:t xml:space="preserve"> </w:t>
      </w:r>
      <w:r w:rsidR="00907029">
        <w:rPr>
          <w:rFonts w:cs="Calibri"/>
          <w:sz w:val="28"/>
          <w:szCs w:val="28"/>
        </w:rPr>
        <w:br/>
        <w:t xml:space="preserve">es. </w:t>
      </w:r>
      <w:r w:rsidR="00907029" w:rsidRPr="0083330C">
        <w:rPr>
          <w:rFonts w:cs="Calibri"/>
          <w:sz w:val="28"/>
          <w:szCs w:val="28"/>
        </w:rPr>
        <w:t>“</w:t>
      </w:r>
      <w:r w:rsidR="00907029" w:rsidRPr="00BD0725">
        <w:rPr>
          <w:rFonts w:cs="Calibri"/>
          <w:b/>
          <w:bCs/>
          <w:sz w:val="28"/>
          <w:szCs w:val="28"/>
        </w:rPr>
        <w:t>Rapporto sulla Sorveglianza dei vaccini COVID-19 27/12/2020 – 26/12/2021</w:t>
      </w:r>
      <w:r w:rsidR="00907029" w:rsidRPr="0083330C">
        <w:rPr>
          <w:rFonts w:cs="Calibri"/>
          <w:sz w:val="28"/>
          <w:szCs w:val="28"/>
        </w:rPr>
        <w:t>”</w:t>
      </w:r>
      <w:r w:rsidR="00907029">
        <w:rPr>
          <w:rFonts w:cs="Calibri"/>
          <w:sz w:val="28"/>
          <w:szCs w:val="28"/>
        </w:rPr>
        <w:t xml:space="preserve"> …  </w:t>
      </w:r>
      <w:r w:rsidRPr="0083330C">
        <w:rPr>
          <w:rFonts w:cs="Calibri"/>
          <w:sz w:val="28"/>
          <w:szCs w:val="28"/>
        </w:rPr>
        <w:t>pubblicato da AIFA</w:t>
      </w:r>
      <w:r w:rsidR="000C6BD4">
        <w:rPr>
          <w:rStyle w:val="Rimandonotaapidipagina"/>
          <w:rFonts w:cs="Calibri"/>
          <w:sz w:val="28"/>
          <w:szCs w:val="28"/>
        </w:rPr>
        <w:footnoteReference w:id="2"/>
      </w:r>
      <w:r w:rsidRPr="0083330C">
        <w:rPr>
          <w:rFonts w:cs="Calibri"/>
          <w:sz w:val="28"/>
          <w:szCs w:val="28"/>
        </w:rPr>
        <w:t>,</w:t>
      </w:r>
      <w:r w:rsidR="00907029">
        <w:rPr>
          <w:rFonts w:cs="Calibri"/>
          <w:sz w:val="28"/>
          <w:szCs w:val="28"/>
        </w:rPr>
        <w:br/>
      </w:r>
      <w:r w:rsidR="00907029" w:rsidRPr="00907029">
        <w:rPr>
          <w:rFonts w:cs="Calibri"/>
          <w:b/>
          <w:bCs/>
          <w:color w:val="FF0000"/>
          <w:sz w:val="28"/>
          <w:szCs w:val="28"/>
        </w:rPr>
        <w:t xml:space="preserve">… </w:t>
      </w:r>
      <w:r w:rsidR="00907029">
        <w:rPr>
          <w:rFonts w:cs="Calibri"/>
          <w:b/>
          <w:bCs/>
          <w:color w:val="FF0000"/>
          <w:sz w:val="28"/>
          <w:szCs w:val="28"/>
        </w:rPr>
        <w:t xml:space="preserve">***** </w:t>
      </w:r>
      <w:r w:rsidR="00907029" w:rsidRPr="00907029">
        <w:rPr>
          <w:rFonts w:cs="Calibri"/>
          <w:b/>
          <w:bCs/>
          <w:color w:val="FF0000"/>
          <w:sz w:val="28"/>
          <w:szCs w:val="28"/>
        </w:rPr>
        <w:t xml:space="preserve">ATTENZIONE: QUESTA PARTE è SOGGETTA A MODIFICA A SECONDA DEL RAPPORTO CITATO </w:t>
      </w:r>
      <w:r w:rsidR="00907029">
        <w:rPr>
          <w:rFonts w:cs="Calibri"/>
          <w:b/>
          <w:bCs/>
          <w:color w:val="FF0000"/>
          <w:sz w:val="28"/>
          <w:szCs w:val="28"/>
        </w:rPr>
        <w:t>*****</w:t>
      </w:r>
      <w:r w:rsidR="00907029" w:rsidRPr="00907029">
        <w:rPr>
          <w:rFonts w:cs="Calibri"/>
          <w:b/>
          <w:bCs/>
          <w:color w:val="FF0000"/>
          <w:sz w:val="28"/>
          <w:szCs w:val="28"/>
        </w:rPr>
        <w:t>…</w:t>
      </w:r>
      <w:r w:rsidR="00907029" w:rsidRPr="00907029">
        <w:rPr>
          <w:rFonts w:cs="Calibri"/>
          <w:b/>
          <w:bCs/>
          <w:color w:val="FF0000"/>
          <w:sz w:val="28"/>
          <w:szCs w:val="28"/>
        </w:rPr>
        <w:br/>
      </w:r>
      <w:r w:rsidR="00907029">
        <w:rPr>
          <w:rFonts w:cs="Calibri"/>
          <w:sz w:val="28"/>
          <w:szCs w:val="28"/>
        </w:rPr>
        <w:br/>
      </w:r>
      <w:r w:rsidR="00907029" w:rsidRPr="0083330C">
        <w:rPr>
          <w:rFonts w:cs="Calibri"/>
          <w:sz w:val="28"/>
          <w:szCs w:val="28"/>
        </w:rPr>
        <w:t>“</w:t>
      </w:r>
      <w:r w:rsidR="00907029" w:rsidRPr="0083330C">
        <w:rPr>
          <w:rFonts w:cs="Calibri"/>
          <w:i/>
          <w:iCs/>
          <w:sz w:val="28"/>
          <w:szCs w:val="28"/>
        </w:rPr>
        <w:t xml:space="preserve">Sono stati segnalati </w:t>
      </w:r>
      <w:r w:rsidR="00907029">
        <w:rPr>
          <w:rFonts w:cs="Calibri"/>
          <w:i/>
          <w:iCs/>
          <w:sz w:val="28"/>
          <w:szCs w:val="28"/>
        </w:rPr>
        <w:t xml:space="preserve">758 </w:t>
      </w:r>
      <w:r w:rsidR="00907029" w:rsidRPr="0083330C">
        <w:rPr>
          <w:rFonts w:cs="Calibri"/>
          <w:i/>
          <w:iCs/>
          <w:sz w:val="28"/>
          <w:szCs w:val="28"/>
        </w:rPr>
        <w:t>casi fatali</w:t>
      </w:r>
      <w:r w:rsidR="00907029">
        <w:rPr>
          <w:rFonts w:cs="Calibri"/>
          <w:i/>
          <w:iCs/>
          <w:sz w:val="28"/>
          <w:szCs w:val="28"/>
        </w:rPr>
        <w:t xml:space="preserve">, di cui 580 </w:t>
      </w:r>
      <w:r w:rsidR="00907029" w:rsidRPr="005304F1">
        <w:rPr>
          <w:rFonts w:cs="Calibri"/>
          <w:i/>
          <w:iCs/>
          <w:sz w:val="28"/>
          <w:szCs w:val="28"/>
        </w:rPr>
        <w:t>presenta</w:t>
      </w:r>
      <w:r w:rsidR="00907029">
        <w:rPr>
          <w:rFonts w:cs="Calibri"/>
          <w:i/>
          <w:iCs/>
          <w:sz w:val="28"/>
          <w:szCs w:val="28"/>
        </w:rPr>
        <w:t>no</w:t>
      </w:r>
      <w:r w:rsidR="00907029" w:rsidRPr="005304F1">
        <w:rPr>
          <w:rFonts w:cs="Calibri"/>
          <w:i/>
          <w:iCs/>
          <w:sz w:val="28"/>
          <w:szCs w:val="28"/>
        </w:rPr>
        <w:t xml:space="preserve"> una valutazione del nesso di causalità con l’algoritmo del WHO</w:t>
      </w:r>
      <w:r w:rsidR="00907029">
        <w:rPr>
          <w:rFonts w:cs="Calibri"/>
          <w:i/>
          <w:iCs/>
          <w:sz w:val="28"/>
          <w:szCs w:val="28"/>
        </w:rPr>
        <w:t>. Di questi, 336 casi risulterebbero “non correlabili”. Dei rimanenti 244 casi:</w:t>
      </w:r>
      <w:r w:rsidR="00907029">
        <w:rPr>
          <w:rFonts w:cs="Calibri"/>
          <w:i/>
          <w:iCs/>
          <w:sz w:val="28"/>
          <w:szCs w:val="28"/>
        </w:rPr>
        <w:br/>
        <w:t>…- 22 sono correlabili alla vaccinazione;</w:t>
      </w:r>
      <w:r w:rsidR="00907029">
        <w:rPr>
          <w:rFonts w:cs="Calibri"/>
          <w:i/>
          <w:iCs/>
          <w:sz w:val="28"/>
          <w:szCs w:val="28"/>
        </w:rPr>
        <w:br/>
        <w:t>…- 175 sono risultati “indeterminati”;</w:t>
      </w:r>
      <w:r w:rsidR="00907029">
        <w:rPr>
          <w:rFonts w:cs="Calibri"/>
          <w:i/>
          <w:iCs/>
          <w:sz w:val="28"/>
          <w:szCs w:val="28"/>
        </w:rPr>
        <w:br/>
        <w:t xml:space="preserve">…- 47 sono risultati </w:t>
      </w:r>
      <w:r w:rsidR="00907029" w:rsidRPr="005304F1">
        <w:rPr>
          <w:rFonts w:cs="Calibri"/>
          <w:i/>
          <w:iCs/>
          <w:sz w:val="28"/>
          <w:szCs w:val="28"/>
        </w:rPr>
        <w:t>inclassificabile per mancanza di informazioni sufficienti</w:t>
      </w:r>
      <w:r w:rsidR="00907029">
        <w:rPr>
          <w:rFonts w:cs="Calibri"/>
          <w:i/>
          <w:iCs/>
          <w:sz w:val="28"/>
          <w:szCs w:val="28"/>
        </w:rPr>
        <w:t>.</w:t>
      </w:r>
      <w:r w:rsidR="00907029">
        <w:rPr>
          <w:rFonts w:cs="Calibri"/>
          <w:i/>
          <w:iCs/>
          <w:sz w:val="28"/>
          <w:szCs w:val="28"/>
        </w:rPr>
        <w:br/>
      </w:r>
      <w:r w:rsidR="00907029">
        <w:rPr>
          <w:rFonts w:cs="Calibri"/>
          <w:i/>
          <w:iCs/>
          <w:sz w:val="28"/>
          <w:szCs w:val="28"/>
        </w:rPr>
        <w:br/>
        <w:t>I 22 casi fatali sono stati collegati a:</w:t>
      </w:r>
      <w:r w:rsidR="00907029">
        <w:rPr>
          <w:rFonts w:cs="Calibri"/>
          <w:i/>
          <w:iCs/>
          <w:sz w:val="28"/>
          <w:szCs w:val="28"/>
        </w:rPr>
        <w:br/>
        <w:t>…- storia clinica di patologie cardiovascolari;</w:t>
      </w:r>
      <w:r w:rsidR="00907029">
        <w:rPr>
          <w:rFonts w:cs="Calibri"/>
          <w:sz w:val="28"/>
          <w:szCs w:val="28"/>
        </w:rPr>
        <w:br/>
      </w:r>
      <w:r w:rsidR="00907029">
        <w:rPr>
          <w:rFonts w:cs="Calibri"/>
          <w:i/>
          <w:iCs/>
          <w:sz w:val="28"/>
          <w:szCs w:val="28"/>
        </w:rPr>
        <w:t>…</w:t>
      </w:r>
      <w:r w:rsidR="00907029" w:rsidRPr="00834BF9">
        <w:rPr>
          <w:rFonts w:cs="Calibri"/>
          <w:i/>
          <w:iCs/>
          <w:sz w:val="28"/>
          <w:szCs w:val="28"/>
        </w:rPr>
        <w:t xml:space="preserve">- casi di trombosi </w:t>
      </w:r>
      <w:proofErr w:type="spellStart"/>
      <w:r w:rsidR="00907029" w:rsidRPr="00834BF9">
        <w:rPr>
          <w:rFonts w:cs="Calibri"/>
          <w:i/>
          <w:iCs/>
          <w:sz w:val="28"/>
          <w:szCs w:val="28"/>
        </w:rPr>
        <w:t>trombocitopenica</w:t>
      </w:r>
      <w:proofErr w:type="spellEnd"/>
      <w:r w:rsidR="00907029">
        <w:rPr>
          <w:rFonts w:cs="Calibri"/>
          <w:i/>
          <w:iCs/>
          <w:sz w:val="28"/>
          <w:szCs w:val="28"/>
        </w:rPr>
        <w:t>:</w:t>
      </w:r>
      <w:r w:rsidR="00907029">
        <w:rPr>
          <w:rFonts w:cs="Calibri"/>
          <w:i/>
          <w:iCs/>
          <w:sz w:val="28"/>
          <w:szCs w:val="28"/>
        </w:rPr>
        <w:br/>
      </w:r>
      <w:proofErr w:type="spellStart"/>
      <w:r w:rsidR="00907029">
        <w:rPr>
          <w:rFonts w:cs="Calibri"/>
          <w:i/>
          <w:iCs/>
          <w:sz w:val="28"/>
          <w:szCs w:val="28"/>
        </w:rPr>
        <w:t>…-</w:t>
      </w:r>
      <w:proofErr w:type="spellEnd"/>
      <w:r w:rsidR="00907029">
        <w:rPr>
          <w:rFonts w:cs="Calibri"/>
          <w:i/>
          <w:iCs/>
          <w:sz w:val="28"/>
          <w:szCs w:val="28"/>
        </w:rPr>
        <w:t xml:space="preserve"> non meglio definiti “fallimenti vaccinali” associati a </w:t>
      </w:r>
      <w:r w:rsidR="00907029" w:rsidRPr="005304F1">
        <w:rPr>
          <w:rFonts w:cs="Calibri"/>
          <w:i/>
          <w:iCs/>
          <w:sz w:val="28"/>
          <w:szCs w:val="28"/>
        </w:rPr>
        <w:t>condizioni cliniche e terapie compatibili con uno stato di immunosoppressione</w:t>
      </w:r>
      <w:r w:rsidR="00907029">
        <w:rPr>
          <w:rFonts w:cs="Calibri"/>
          <w:i/>
          <w:iCs/>
          <w:sz w:val="28"/>
          <w:szCs w:val="28"/>
        </w:rPr>
        <w:t>;</w:t>
      </w:r>
      <w:r w:rsidR="00907029">
        <w:rPr>
          <w:rFonts w:cs="Calibri"/>
          <w:i/>
          <w:iCs/>
          <w:sz w:val="28"/>
          <w:szCs w:val="28"/>
        </w:rPr>
        <w:br/>
        <w:t xml:space="preserve">…- generiche </w:t>
      </w:r>
      <w:r w:rsidR="00907029" w:rsidRPr="005304F1">
        <w:rPr>
          <w:rFonts w:cs="Calibri"/>
          <w:i/>
          <w:iCs/>
          <w:sz w:val="28"/>
          <w:szCs w:val="28"/>
        </w:rPr>
        <w:t xml:space="preserve">condizione di fragilità per </w:t>
      </w:r>
      <w:proofErr w:type="spellStart"/>
      <w:r w:rsidR="00907029" w:rsidRPr="005304F1">
        <w:rPr>
          <w:rFonts w:cs="Calibri"/>
          <w:i/>
          <w:iCs/>
          <w:sz w:val="28"/>
          <w:szCs w:val="28"/>
        </w:rPr>
        <w:t>pluripatologie</w:t>
      </w:r>
      <w:proofErr w:type="spellEnd"/>
      <w:r w:rsidR="00907029">
        <w:rPr>
          <w:rFonts w:cs="Calibri"/>
          <w:i/>
          <w:iCs/>
          <w:sz w:val="28"/>
          <w:szCs w:val="28"/>
        </w:rPr>
        <w:t>.</w:t>
      </w:r>
      <w:r w:rsidR="00907029" w:rsidRPr="00834BF9">
        <w:rPr>
          <w:rFonts w:cs="Calibri"/>
          <w:i/>
          <w:iCs/>
          <w:sz w:val="28"/>
          <w:szCs w:val="28"/>
        </w:rPr>
        <w:br/>
      </w:r>
      <w:r w:rsidR="00907029">
        <w:rPr>
          <w:rFonts w:cs="Calibri"/>
          <w:i/>
          <w:iCs/>
          <w:sz w:val="28"/>
          <w:szCs w:val="28"/>
        </w:rPr>
        <w:br/>
      </w:r>
      <w:r w:rsidR="00907029" w:rsidRPr="00BD0725">
        <w:rPr>
          <w:rFonts w:cs="Calibri"/>
          <w:sz w:val="28"/>
          <w:szCs w:val="28"/>
        </w:rPr>
        <w:t xml:space="preserve">In generale si nota come la distribuzione degli eventi avversi dopo vaccino </w:t>
      </w:r>
      <w:proofErr w:type="spellStart"/>
      <w:r w:rsidR="00907029" w:rsidRPr="00BD0725">
        <w:rPr>
          <w:rFonts w:cs="Calibri"/>
          <w:sz w:val="28"/>
          <w:szCs w:val="28"/>
        </w:rPr>
        <w:lastRenderedPageBreak/>
        <w:t>Comirnaty</w:t>
      </w:r>
      <w:proofErr w:type="spellEnd"/>
      <w:r w:rsidR="00907029" w:rsidRPr="00BD0725">
        <w:rPr>
          <w:rFonts w:cs="Calibri"/>
          <w:sz w:val="28"/>
          <w:szCs w:val="28"/>
        </w:rPr>
        <w:t xml:space="preserve"> </w:t>
      </w:r>
      <w:r w:rsidR="00907029">
        <w:rPr>
          <w:rFonts w:cs="Calibri"/>
          <w:sz w:val="28"/>
          <w:szCs w:val="28"/>
        </w:rPr>
        <w:t xml:space="preserve">(esempio) </w:t>
      </w:r>
      <w:r w:rsidR="00907029" w:rsidRPr="00BD0725">
        <w:rPr>
          <w:rFonts w:cs="Calibri"/>
          <w:sz w:val="28"/>
          <w:szCs w:val="28"/>
        </w:rPr>
        <w:t>in base alla classe sistemico-organica (SOC), che comporta anche esito fatale, comprende numerose manifestazioni cliniche, tra le quali (in ordine di grandezza di manifestazione):</w:t>
      </w:r>
      <w:r w:rsidR="00907029">
        <w:rPr>
          <w:rFonts w:cs="Calibri"/>
          <w:i/>
          <w:iCs/>
          <w:sz w:val="28"/>
          <w:szCs w:val="28"/>
        </w:rPr>
        <w:t xml:space="preserve"> patologie del sistema nervoso, del sistema muscoloscheletrico e del tessuto connettivo, gastrointestinali, della cute e del tessuto sottocutaneo, del sistema </w:t>
      </w:r>
      <w:r w:rsidR="00907029" w:rsidRPr="00BD0725">
        <w:rPr>
          <w:rFonts w:cs="Calibri"/>
          <w:i/>
          <w:iCs/>
          <w:sz w:val="28"/>
          <w:szCs w:val="28"/>
        </w:rPr>
        <w:t>emolinfopoietico</w:t>
      </w:r>
      <w:r w:rsidR="00907029">
        <w:rPr>
          <w:rFonts w:cs="Calibri"/>
          <w:i/>
          <w:iCs/>
          <w:sz w:val="28"/>
          <w:szCs w:val="28"/>
        </w:rPr>
        <w:t xml:space="preserve">, </w:t>
      </w:r>
      <w:r w:rsidR="00907029" w:rsidRPr="00BD0725">
        <w:rPr>
          <w:rFonts w:cs="Calibri"/>
          <w:i/>
          <w:iCs/>
          <w:sz w:val="28"/>
          <w:szCs w:val="28"/>
        </w:rPr>
        <w:t>respiratorie, toraciche e mediastiniche</w:t>
      </w:r>
      <w:r w:rsidR="00907029">
        <w:rPr>
          <w:rFonts w:cs="Calibri"/>
          <w:i/>
          <w:iCs/>
          <w:sz w:val="28"/>
          <w:szCs w:val="28"/>
        </w:rPr>
        <w:t xml:space="preserve">, vascolari, cardiache, ecc. </w:t>
      </w:r>
      <w:r w:rsidR="00907029">
        <w:rPr>
          <w:rFonts w:cs="Calibri"/>
          <w:i/>
          <w:iCs/>
          <w:sz w:val="28"/>
          <w:szCs w:val="28"/>
        </w:rPr>
        <w:br/>
      </w:r>
      <w:r w:rsidR="00907029" w:rsidRPr="00BD0725">
        <w:rPr>
          <w:rFonts w:cs="Calibri"/>
          <w:i/>
          <w:iCs/>
          <w:sz w:val="28"/>
          <w:szCs w:val="28"/>
        </w:rPr>
        <w:br/>
      </w:r>
      <w:r w:rsidR="00907029" w:rsidRPr="00907029">
        <w:rPr>
          <w:rFonts w:cs="Calibri"/>
          <w:b/>
          <w:bCs/>
          <w:color w:val="FF0000"/>
          <w:sz w:val="28"/>
          <w:szCs w:val="28"/>
        </w:rPr>
        <w:t>… ***** FINE DELLA PARTE DA MODIFICARE ***** …</w:t>
      </w:r>
      <w:r w:rsidR="00907029" w:rsidRPr="00907029">
        <w:rPr>
          <w:rFonts w:cs="Calibri"/>
          <w:b/>
          <w:bCs/>
          <w:color w:val="FF0000"/>
          <w:sz w:val="28"/>
          <w:szCs w:val="28"/>
        </w:rPr>
        <w:br/>
      </w:r>
      <w:r w:rsidR="00907029">
        <w:rPr>
          <w:rFonts w:cs="Calibri"/>
          <w:sz w:val="28"/>
          <w:szCs w:val="28"/>
        </w:rPr>
        <w:br/>
      </w:r>
      <w:r w:rsidR="00766CE9">
        <w:rPr>
          <w:rFonts w:cs="Calibri"/>
          <w:i/>
          <w:iCs/>
          <w:sz w:val="28"/>
          <w:szCs w:val="28"/>
        </w:rPr>
        <w:t>“</w:t>
      </w:r>
      <w:r w:rsidRPr="0083330C">
        <w:rPr>
          <w:rFonts w:cs="Calibri"/>
          <w:i/>
          <w:iCs/>
          <w:sz w:val="28"/>
          <w:szCs w:val="28"/>
        </w:rPr>
        <w:t xml:space="preserve">Le valutazioni dei casi corredati di informazioni dettagliate e complete suggeriscono l’assenza di </w:t>
      </w:r>
      <w:proofErr w:type="spellStart"/>
      <w:r w:rsidRPr="0083330C">
        <w:rPr>
          <w:rFonts w:cs="Calibri"/>
          <w:i/>
          <w:iCs/>
          <w:sz w:val="28"/>
          <w:szCs w:val="28"/>
        </w:rPr>
        <w:t>responsabilità</w:t>
      </w:r>
      <w:proofErr w:type="spellEnd"/>
      <w:r w:rsidRPr="0083330C">
        <w:rPr>
          <w:rFonts w:cs="Calibri"/>
          <w:i/>
          <w:iCs/>
          <w:sz w:val="28"/>
          <w:szCs w:val="28"/>
        </w:rPr>
        <w:t xml:space="preserve"> del vaccino nella maggior parte di questi, in quanto si tratta spesso di soggetti con</w:t>
      </w:r>
      <w:r w:rsidRPr="0083330C">
        <w:rPr>
          <w:rFonts w:cs="Calibri"/>
          <w:b/>
          <w:bCs/>
          <w:i/>
          <w:iCs/>
          <w:sz w:val="28"/>
          <w:szCs w:val="28"/>
        </w:rPr>
        <w:t xml:space="preserve"> patologie intercorrenti</w:t>
      </w:r>
      <w:r w:rsidRPr="0083330C">
        <w:rPr>
          <w:rFonts w:cs="Calibri"/>
          <w:i/>
          <w:iCs/>
          <w:sz w:val="28"/>
          <w:szCs w:val="28"/>
        </w:rPr>
        <w:t xml:space="preserve"> o </w:t>
      </w:r>
      <w:r w:rsidRPr="0083330C">
        <w:rPr>
          <w:rFonts w:cs="Calibri"/>
          <w:b/>
          <w:bCs/>
          <w:i/>
          <w:iCs/>
          <w:sz w:val="28"/>
          <w:szCs w:val="28"/>
        </w:rPr>
        <w:t>pregresse</w:t>
      </w:r>
      <w:r w:rsidRPr="0083330C">
        <w:rPr>
          <w:rFonts w:cs="Calibri"/>
          <w:i/>
          <w:iCs/>
          <w:sz w:val="28"/>
          <w:szCs w:val="28"/>
        </w:rPr>
        <w:t xml:space="preserve"> e in</w:t>
      </w:r>
      <w:r w:rsidRPr="00736100">
        <w:t xml:space="preserve"> </w:t>
      </w:r>
      <w:proofErr w:type="spellStart"/>
      <w:r w:rsidRPr="0083330C">
        <w:rPr>
          <w:rFonts w:cs="Calibri"/>
          <w:b/>
          <w:bCs/>
          <w:i/>
          <w:iCs/>
          <w:sz w:val="28"/>
          <w:szCs w:val="28"/>
        </w:rPr>
        <w:t>politerapia</w:t>
      </w:r>
      <w:proofErr w:type="spellEnd"/>
      <w:r w:rsidRPr="0083330C">
        <w:rPr>
          <w:rFonts w:cs="Calibri"/>
          <w:i/>
          <w:iCs/>
          <w:sz w:val="28"/>
          <w:szCs w:val="28"/>
        </w:rPr>
        <w:t xml:space="preserve">, </w:t>
      </w:r>
      <w:r w:rsidRPr="0083330C">
        <w:rPr>
          <w:rFonts w:cs="Calibri"/>
          <w:b/>
          <w:bCs/>
          <w:i/>
          <w:iCs/>
          <w:sz w:val="28"/>
          <w:szCs w:val="28"/>
        </w:rPr>
        <w:t xml:space="preserve">con </w:t>
      </w:r>
      <w:proofErr w:type="spellStart"/>
      <w:r w:rsidRPr="0083330C">
        <w:rPr>
          <w:rFonts w:cs="Calibri"/>
          <w:b/>
          <w:bCs/>
          <w:i/>
          <w:iCs/>
          <w:sz w:val="28"/>
          <w:szCs w:val="28"/>
        </w:rPr>
        <w:t>fragilità</w:t>
      </w:r>
      <w:proofErr w:type="spellEnd"/>
      <w:r w:rsidRPr="0083330C">
        <w:rPr>
          <w:rFonts w:cs="Calibri"/>
          <w:b/>
          <w:bCs/>
          <w:i/>
          <w:iCs/>
          <w:sz w:val="28"/>
          <w:szCs w:val="28"/>
        </w:rPr>
        <w:t xml:space="preserve"> cliniche</w:t>
      </w:r>
      <w:r w:rsidRPr="0083330C">
        <w:rPr>
          <w:rFonts w:cs="Calibri"/>
          <w:i/>
          <w:iCs/>
          <w:sz w:val="28"/>
          <w:szCs w:val="28"/>
        </w:rPr>
        <w:t xml:space="preserve">, quali: malattie cardiovascolari (ipertensione arteriosa, pregressi IMA, scompenso cardiaco, cardiomiopatia), malattie metaboliche (diabete, dislipidemia), malattie oncologiche, malattie autoimmuni, malattie neurodegenerative (malattia di Alzheimer), malattie respiratorie e mediastiniche (BPCO, enfisema), malattie renali, epatiche, pancreatiche, malattie del sistema </w:t>
      </w:r>
      <w:proofErr w:type="spellStart"/>
      <w:r w:rsidRPr="0083330C">
        <w:rPr>
          <w:rFonts w:cs="Calibri"/>
          <w:i/>
          <w:iCs/>
          <w:sz w:val="28"/>
          <w:szCs w:val="28"/>
        </w:rPr>
        <w:t>linfopoietico</w:t>
      </w:r>
      <w:proofErr w:type="spellEnd"/>
      <w:r w:rsidRPr="0083330C">
        <w:rPr>
          <w:rFonts w:cs="Calibri"/>
          <w:i/>
          <w:iCs/>
          <w:sz w:val="28"/>
          <w:szCs w:val="28"/>
        </w:rPr>
        <w:t xml:space="preserve"> (</w:t>
      </w:r>
      <w:proofErr w:type="spellStart"/>
      <w:r w:rsidRPr="0083330C">
        <w:rPr>
          <w:rFonts w:cs="Calibri"/>
          <w:i/>
          <w:iCs/>
          <w:sz w:val="28"/>
          <w:szCs w:val="28"/>
        </w:rPr>
        <w:t>piastrinopenia</w:t>
      </w:r>
      <w:proofErr w:type="spellEnd"/>
      <w:r w:rsidRPr="0083330C">
        <w:rPr>
          <w:rFonts w:cs="Calibri"/>
          <w:i/>
          <w:iCs/>
          <w:sz w:val="28"/>
          <w:szCs w:val="28"/>
        </w:rPr>
        <w:t>, difetti coagulazione).</w:t>
      </w:r>
      <w:r w:rsidR="00907029">
        <w:rPr>
          <w:rFonts w:cs="Calibri"/>
          <w:i/>
          <w:iCs/>
          <w:sz w:val="28"/>
          <w:szCs w:val="28"/>
        </w:rPr>
        <w:br/>
      </w:r>
      <w:r w:rsidRPr="0083330C">
        <w:rPr>
          <w:rFonts w:cs="Calibri"/>
          <w:i/>
          <w:iCs/>
          <w:sz w:val="28"/>
          <w:szCs w:val="28"/>
        </w:rPr>
        <w:t xml:space="preserve">Di conseguenza, </w:t>
      </w:r>
      <w:r w:rsidRPr="0083330C">
        <w:rPr>
          <w:rFonts w:cs="Calibri"/>
          <w:b/>
          <w:bCs/>
          <w:i/>
          <w:iCs/>
          <w:sz w:val="28"/>
          <w:szCs w:val="28"/>
        </w:rPr>
        <w:t xml:space="preserve">sia la valutazione della causa di morte che l’attribuzione del nesso di </w:t>
      </w:r>
      <w:proofErr w:type="spellStart"/>
      <w:r w:rsidRPr="0083330C">
        <w:rPr>
          <w:rFonts w:cs="Calibri"/>
          <w:b/>
          <w:bCs/>
          <w:i/>
          <w:iCs/>
          <w:sz w:val="28"/>
          <w:szCs w:val="28"/>
        </w:rPr>
        <w:t>causalità</w:t>
      </w:r>
      <w:proofErr w:type="spellEnd"/>
      <w:r w:rsidRPr="0083330C">
        <w:rPr>
          <w:rFonts w:cs="Calibri"/>
          <w:b/>
          <w:bCs/>
          <w:i/>
          <w:iCs/>
          <w:sz w:val="28"/>
          <w:szCs w:val="28"/>
        </w:rPr>
        <w:t xml:space="preserve"> risultano complesse</w:t>
      </w:r>
      <w:r w:rsidRPr="0083330C">
        <w:rPr>
          <w:rFonts w:cs="Calibri"/>
          <w:i/>
          <w:iCs/>
          <w:sz w:val="28"/>
          <w:szCs w:val="28"/>
        </w:rPr>
        <w:t>.</w:t>
      </w:r>
      <w:r w:rsidR="00907029">
        <w:rPr>
          <w:rFonts w:cs="Calibri"/>
          <w:i/>
          <w:iCs/>
          <w:sz w:val="28"/>
          <w:szCs w:val="28"/>
        </w:rPr>
        <w:br/>
      </w:r>
      <w:r w:rsidRPr="00907029">
        <w:rPr>
          <w:rFonts w:cs="Calibri"/>
          <w:b/>
          <w:bCs/>
          <w:i/>
          <w:iCs/>
          <w:sz w:val="28"/>
          <w:szCs w:val="28"/>
          <w:u w:val="single"/>
        </w:rPr>
        <w:t>Per tale motivo, ogni caso viene approfondito con accuratezza, richiedendo sempre al segnalatore di fornire ulteriori informazioni cliniche e diagnostiche in modo tempestivo</w:t>
      </w:r>
      <w:r w:rsidRPr="0083330C">
        <w:rPr>
          <w:rFonts w:cs="Calibri"/>
          <w:i/>
          <w:iCs/>
          <w:sz w:val="28"/>
          <w:szCs w:val="28"/>
        </w:rPr>
        <w:t xml:space="preserve"> (anamnesi clinica e farmacologica, cartella clinica, eventuali indagini effettuate e autopsia). Tuttavia, non è sempre possibile reperire questi dettagli e alcune schede di segnalazione riportano spesso lacune importanti che non si riescono a colmare in fase di </w:t>
      </w:r>
      <w:proofErr w:type="spellStart"/>
      <w:r w:rsidRPr="0083330C">
        <w:rPr>
          <w:rFonts w:cs="Calibri"/>
          <w:i/>
          <w:iCs/>
          <w:sz w:val="28"/>
          <w:szCs w:val="28"/>
        </w:rPr>
        <w:t>follow</w:t>
      </w:r>
      <w:proofErr w:type="spellEnd"/>
      <w:r w:rsidRPr="0083330C">
        <w:rPr>
          <w:rFonts w:cs="Calibri"/>
          <w:i/>
          <w:iCs/>
          <w:sz w:val="28"/>
          <w:szCs w:val="28"/>
        </w:rPr>
        <w:t xml:space="preserve"> up.</w:t>
      </w:r>
      <w:r w:rsidRPr="0083330C">
        <w:rPr>
          <w:rFonts w:cs="Calibri"/>
          <w:sz w:val="28"/>
          <w:szCs w:val="28"/>
        </w:rPr>
        <w:t>”</w:t>
      </w:r>
      <w:r w:rsidR="00766CE9">
        <w:rPr>
          <w:rStyle w:val="Rimandonotaapidipagina"/>
          <w:rFonts w:cs="Calibri"/>
          <w:sz w:val="28"/>
          <w:szCs w:val="28"/>
        </w:rPr>
        <w:footnoteReference w:id="3"/>
      </w:r>
      <w:r w:rsidR="00117356" w:rsidRPr="0083330C">
        <w:rPr>
          <w:rFonts w:cs="Calibri"/>
          <w:sz w:val="28"/>
          <w:szCs w:val="28"/>
        </w:rPr>
        <w:t xml:space="preserve"> </w:t>
      </w:r>
      <w:r w:rsidR="00117356" w:rsidRPr="0083330C">
        <w:rPr>
          <w:rFonts w:cs="Calibri"/>
          <w:sz w:val="28"/>
          <w:szCs w:val="28"/>
        </w:rPr>
        <w:br/>
        <w:t xml:space="preserve">Nel contempo, segnalo anche la costante </w:t>
      </w:r>
      <w:r w:rsidR="0083330C" w:rsidRPr="0083330C">
        <w:rPr>
          <w:rFonts w:cs="Calibri"/>
          <w:sz w:val="28"/>
          <w:szCs w:val="28"/>
        </w:rPr>
        <w:t xml:space="preserve">reportistica prodotta da </w:t>
      </w:r>
      <w:proofErr w:type="spellStart"/>
      <w:r w:rsidR="0083330C" w:rsidRPr="0083330C">
        <w:rPr>
          <w:rFonts w:cs="Calibri"/>
          <w:sz w:val="28"/>
          <w:szCs w:val="28"/>
        </w:rPr>
        <w:t>EudraVigilance</w:t>
      </w:r>
      <w:proofErr w:type="spellEnd"/>
      <w:r w:rsidR="0083330C" w:rsidRPr="0083330C">
        <w:rPr>
          <w:rFonts w:cs="Calibri"/>
          <w:sz w:val="28"/>
          <w:szCs w:val="28"/>
        </w:rPr>
        <w:t xml:space="preserve"> (</w:t>
      </w:r>
      <w:hyperlink r:id="rId7" w:history="1">
        <w:r w:rsidR="0083330C" w:rsidRPr="0083330C">
          <w:rPr>
            <w:rStyle w:val="Collegamentoipertestuale"/>
            <w:rFonts w:cs="Calibri"/>
            <w:sz w:val="28"/>
            <w:szCs w:val="28"/>
          </w:rPr>
          <w:t>www.adrreports.eu</w:t>
        </w:r>
      </w:hyperlink>
      <w:r w:rsidR="0083330C" w:rsidRPr="0083330C">
        <w:rPr>
          <w:rFonts w:cs="Calibri"/>
          <w:sz w:val="28"/>
          <w:szCs w:val="28"/>
        </w:rPr>
        <w:t>) circa l’elevato numero di eventi avversi registrati sul territorio europeo: alla data del 20.12.2021 le reazioni avverse riportate per singola tipologia di vaccino approvato erano le seguenti,</w:t>
      </w:r>
      <w:r w:rsidR="0083330C" w:rsidRPr="0083330C">
        <w:rPr>
          <w:rFonts w:cs="Calibri"/>
          <w:sz w:val="28"/>
          <w:szCs w:val="28"/>
        </w:rPr>
        <w:br/>
      </w:r>
      <w:r w:rsidR="00907029" w:rsidRPr="00907029">
        <w:rPr>
          <w:rFonts w:cs="Calibri"/>
          <w:sz w:val="28"/>
          <w:szCs w:val="28"/>
        </w:rPr>
        <w:t xml:space="preserve">… - </w:t>
      </w:r>
      <w:proofErr w:type="spellStart"/>
      <w:r w:rsidR="0083330C" w:rsidRPr="0083330C">
        <w:rPr>
          <w:rFonts w:cs="Calibri"/>
          <w:b/>
          <w:bCs/>
          <w:sz w:val="28"/>
          <w:szCs w:val="28"/>
        </w:rPr>
        <w:t>Pfizer-Biontech</w:t>
      </w:r>
      <w:proofErr w:type="spellEnd"/>
      <w:r w:rsidR="0083330C" w:rsidRPr="0083330C">
        <w:rPr>
          <w:rFonts w:cs="Calibri"/>
          <w:sz w:val="28"/>
          <w:szCs w:val="28"/>
        </w:rPr>
        <w:t xml:space="preserve">: </w:t>
      </w:r>
      <w:r w:rsidR="0083330C">
        <w:rPr>
          <w:rFonts w:cs="Calibri"/>
          <w:sz w:val="28"/>
          <w:szCs w:val="28"/>
        </w:rPr>
        <w:t>563.161, di cui circa il 47% gravi e 11.043 decessi</w:t>
      </w:r>
      <w:r w:rsidR="0083330C" w:rsidRPr="0083330C">
        <w:rPr>
          <w:rFonts w:cs="Calibri"/>
          <w:sz w:val="28"/>
          <w:szCs w:val="28"/>
        </w:rPr>
        <w:br/>
      </w:r>
      <w:r w:rsidR="00907029" w:rsidRPr="00907029">
        <w:rPr>
          <w:rFonts w:cs="Calibri"/>
          <w:sz w:val="28"/>
          <w:szCs w:val="28"/>
        </w:rPr>
        <w:t>… -</w:t>
      </w:r>
      <w:r w:rsidR="00907029">
        <w:rPr>
          <w:rFonts w:cs="Calibri"/>
          <w:b/>
          <w:bCs/>
          <w:sz w:val="28"/>
          <w:szCs w:val="28"/>
        </w:rPr>
        <w:t xml:space="preserve"> </w:t>
      </w:r>
      <w:proofErr w:type="spellStart"/>
      <w:r w:rsidR="0083330C" w:rsidRPr="0083330C">
        <w:rPr>
          <w:rFonts w:cs="Calibri"/>
          <w:b/>
          <w:bCs/>
          <w:sz w:val="28"/>
          <w:szCs w:val="28"/>
        </w:rPr>
        <w:t>Astrazeneca</w:t>
      </w:r>
      <w:proofErr w:type="spellEnd"/>
      <w:r w:rsidR="0083330C" w:rsidRPr="0083330C">
        <w:rPr>
          <w:rFonts w:cs="Calibri"/>
          <w:sz w:val="28"/>
          <w:szCs w:val="28"/>
        </w:rPr>
        <w:t>:</w:t>
      </w:r>
      <w:r w:rsidR="0083330C">
        <w:rPr>
          <w:rFonts w:cs="Calibri"/>
          <w:sz w:val="28"/>
          <w:szCs w:val="28"/>
        </w:rPr>
        <w:t xml:space="preserve"> 389.594, di cui il 55% gravi e 4.460 decessi</w:t>
      </w:r>
      <w:r w:rsidR="0083330C" w:rsidRPr="0083330C">
        <w:rPr>
          <w:rFonts w:cs="Calibri"/>
          <w:sz w:val="28"/>
          <w:szCs w:val="28"/>
        </w:rPr>
        <w:br/>
      </w:r>
      <w:r w:rsidR="00907029" w:rsidRPr="00907029">
        <w:rPr>
          <w:rFonts w:cs="Calibri"/>
          <w:sz w:val="28"/>
          <w:szCs w:val="28"/>
        </w:rPr>
        <w:t xml:space="preserve">… - </w:t>
      </w:r>
      <w:r w:rsidR="0083330C" w:rsidRPr="0083330C">
        <w:rPr>
          <w:rFonts w:cs="Calibri"/>
          <w:b/>
          <w:bCs/>
          <w:sz w:val="28"/>
          <w:szCs w:val="28"/>
        </w:rPr>
        <w:t>Moderna</w:t>
      </w:r>
      <w:r w:rsidR="0083330C" w:rsidRPr="0083330C">
        <w:rPr>
          <w:rFonts w:cs="Calibri"/>
          <w:sz w:val="28"/>
          <w:szCs w:val="28"/>
        </w:rPr>
        <w:t xml:space="preserve">: </w:t>
      </w:r>
      <w:r w:rsidR="0083330C">
        <w:rPr>
          <w:rFonts w:cs="Calibri"/>
          <w:sz w:val="28"/>
          <w:szCs w:val="28"/>
        </w:rPr>
        <w:t>178.611, di cui il 44,5% gravi e 5.052 decessi</w:t>
      </w:r>
      <w:r w:rsidR="0083330C">
        <w:rPr>
          <w:rFonts w:cs="Calibri"/>
          <w:sz w:val="28"/>
          <w:szCs w:val="28"/>
        </w:rPr>
        <w:br/>
      </w:r>
      <w:r w:rsidR="00907029" w:rsidRPr="00907029">
        <w:rPr>
          <w:rFonts w:cs="Calibri"/>
          <w:sz w:val="28"/>
          <w:szCs w:val="28"/>
        </w:rPr>
        <w:t xml:space="preserve">… - </w:t>
      </w:r>
      <w:proofErr w:type="spellStart"/>
      <w:r w:rsidR="0083330C" w:rsidRPr="0083330C">
        <w:rPr>
          <w:rFonts w:cs="Calibri"/>
          <w:b/>
          <w:bCs/>
          <w:sz w:val="28"/>
          <w:szCs w:val="28"/>
        </w:rPr>
        <w:t>Janssen</w:t>
      </w:r>
      <w:proofErr w:type="spellEnd"/>
      <w:r w:rsidR="0083330C" w:rsidRPr="0083330C">
        <w:rPr>
          <w:rFonts w:cs="Calibri"/>
          <w:sz w:val="28"/>
          <w:szCs w:val="28"/>
        </w:rPr>
        <w:t xml:space="preserve">: </w:t>
      </w:r>
      <w:r w:rsidR="0083330C">
        <w:rPr>
          <w:rFonts w:cs="Calibri"/>
          <w:sz w:val="28"/>
          <w:szCs w:val="28"/>
        </w:rPr>
        <w:t>42.745, di cui circa il 49% gravi e 1.086 decessi</w:t>
      </w:r>
      <w:r w:rsidR="0083330C" w:rsidRPr="0083330C">
        <w:rPr>
          <w:rFonts w:cs="Calibri"/>
          <w:sz w:val="28"/>
          <w:szCs w:val="28"/>
        </w:rPr>
        <w:br/>
      </w:r>
      <w:r w:rsidR="00907029">
        <w:rPr>
          <w:rFonts w:cs="Calibri"/>
          <w:sz w:val="28"/>
          <w:szCs w:val="28"/>
        </w:rPr>
        <w:br/>
      </w:r>
      <w:r w:rsidR="00907029" w:rsidRPr="00BD0725">
        <w:rPr>
          <w:rFonts w:cs="Calibri"/>
          <w:b/>
          <w:bCs/>
          <w:sz w:val="28"/>
          <w:szCs w:val="28"/>
        </w:rPr>
        <w:t xml:space="preserve">DA QUANTO SU ESPOSTO SONO EVIDENTI LE RAGIONI CHE SOTTENDONO AD UN APPROCCIO PRECAUZIONALE VERSO QUESTO TRATTAMENTO </w:t>
      </w:r>
      <w:r w:rsidR="00907029" w:rsidRPr="00BD0725">
        <w:rPr>
          <w:rFonts w:cs="Calibri"/>
          <w:b/>
          <w:bCs/>
          <w:sz w:val="28"/>
          <w:szCs w:val="28"/>
        </w:rPr>
        <w:lastRenderedPageBreak/>
        <w:t>FARMACOLOGICO!</w:t>
      </w:r>
      <w:r w:rsidR="00907029">
        <w:rPr>
          <w:rFonts w:cs="Calibri"/>
          <w:b/>
          <w:bCs/>
          <w:sz w:val="28"/>
          <w:szCs w:val="28"/>
        </w:rPr>
        <w:br/>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w:t>
      </w:r>
      <w:r w:rsidRPr="00736100">
        <w:rPr>
          <w:rFonts w:cs="Calibri"/>
          <w:i/>
          <w:iCs/>
          <w:color w:val="FF0000"/>
          <w:sz w:val="28"/>
          <w:szCs w:val="28"/>
        </w:rPr>
        <w:t>se applicabile</w:t>
      </w:r>
      <w:r w:rsidRPr="00736100">
        <w:rPr>
          <w:rFonts w:cs="Calibri"/>
          <w:sz w:val="28"/>
          <w:szCs w:val="28"/>
        </w:rPr>
        <w:t>) … di aver appreso che non è stata adeguatamente testata la sicurezza, l’efficacia e l’innocuità di questi farmaci nelle donne che stanno affrontando una gravidanza o che stanno allattando, né in riferimento alla fertilità della donna, ovvero delle donne che vogliono affrontare una gravidanza. In tal caso chiederei un approfondimento informativo se disponibile, e, considerata la mia anamnesi e la mia età, la inviterei ad assumere un atteggiamento quantomeno prudenziale in attesa di ulteriori dati,</w:t>
      </w:r>
      <w:r w:rsidR="00736100">
        <w:rPr>
          <w:rFonts w:cs="Calibri"/>
          <w:sz w:val="28"/>
          <w:szCs w:val="28"/>
        </w:rPr>
        <w:t xml:space="preserve"> </w:t>
      </w:r>
      <w:r w:rsidR="00736100" w:rsidRPr="00736100">
        <w:rPr>
          <w:rFonts w:cs="Calibri"/>
          <w:sz w:val="28"/>
          <w:szCs w:val="28"/>
        </w:rPr>
        <w:t>anche in base a quanto dettato dalla Corte Costituzionale nella sentenza 258/1994;</w:t>
      </w:r>
      <w:r w:rsidR="00736100" w:rsidRPr="00736100">
        <w:rPr>
          <w:rFonts w:cs="Calibri"/>
          <w:sz w:val="28"/>
          <w:szCs w:val="28"/>
          <w:shd w:val="clear" w:color="auto" w:fill="FFFF00"/>
        </w:rPr>
        <w:t xml:space="preserve"> </w:t>
      </w:r>
      <w:r w:rsidRPr="00736100">
        <w:rPr>
          <w:rFonts w:cs="Calibri"/>
          <w:sz w:val="28"/>
          <w:szCs w:val="28"/>
          <w:shd w:val="clear" w:color="auto" w:fill="FFFF00"/>
        </w:rPr>
        <w:br/>
      </w:r>
    </w:p>
    <w:p w:rsidR="004C7721" w:rsidRDefault="004C7721" w:rsidP="00117356">
      <w:pPr>
        <w:pStyle w:val="Nessunaspaziatura"/>
        <w:spacing w:after="120"/>
        <w:ind w:left="720"/>
        <w:rPr>
          <w:rFonts w:cs="Calibri"/>
          <w:sz w:val="28"/>
          <w:szCs w:val="28"/>
        </w:rPr>
      </w:pPr>
      <w:r w:rsidRPr="00736100">
        <w:rPr>
          <w:rFonts w:cs="Calibri"/>
          <w:sz w:val="28"/>
          <w:szCs w:val="28"/>
        </w:rPr>
        <w:t>(</w:t>
      </w:r>
      <w:r w:rsidRPr="00736100">
        <w:rPr>
          <w:rFonts w:cs="Calibri"/>
          <w:i/>
          <w:iCs/>
          <w:color w:val="FF0000"/>
          <w:sz w:val="28"/>
          <w:szCs w:val="28"/>
        </w:rPr>
        <w:t>se applicabile</w:t>
      </w:r>
      <w:r w:rsidRPr="00736100">
        <w:rPr>
          <w:rFonts w:cs="Calibri"/>
          <w:sz w:val="28"/>
          <w:szCs w:val="28"/>
        </w:rPr>
        <w:t xml:space="preserve">) … di aver appreso che non è stata adeguatamente testata la sicurezza, l’efficacia e l’innocuità di questi farmaci in soggetti fragili e con comorbilità. In tal caso chiederei un approfondimento informativo se disponibile e, considerata la mia </w:t>
      </w:r>
      <w:r w:rsidRPr="00E0053E">
        <w:rPr>
          <w:rFonts w:cs="Calibri"/>
          <w:sz w:val="28"/>
          <w:szCs w:val="28"/>
        </w:rPr>
        <w:t xml:space="preserve">anamnesi e una possibile interazione con le terapie in essere, la inviterei ad assumere </w:t>
      </w:r>
      <w:r w:rsidRPr="00736100">
        <w:rPr>
          <w:rFonts w:cs="Calibri"/>
          <w:sz w:val="28"/>
          <w:szCs w:val="28"/>
        </w:rPr>
        <w:t>un atteggiamento quantomeno prudenziale in attesa di ulteriori dati</w:t>
      </w:r>
      <w:r w:rsidR="00736100" w:rsidRPr="00736100">
        <w:rPr>
          <w:rFonts w:cs="Calibri"/>
          <w:sz w:val="28"/>
          <w:szCs w:val="28"/>
        </w:rPr>
        <w:t>, anche in base a quanto dettato dalla Corte Costituzionale nella sentenza 258/1994;</w:t>
      </w:r>
    </w:p>
    <w:p w:rsidR="00736100" w:rsidRPr="00736100" w:rsidRDefault="00736100" w:rsidP="00117356">
      <w:pPr>
        <w:pStyle w:val="Nessunaspaziatura"/>
        <w:spacing w:after="120"/>
        <w:ind w:left="720"/>
        <w:rPr>
          <w:rFonts w:cs="Calibri"/>
          <w:sz w:val="28"/>
          <w:szCs w:val="28"/>
          <w:shd w:val="clear" w:color="auto" w:fill="FFFF00"/>
        </w:rPr>
      </w:pPr>
    </w:p>
    <w:p w:rsidR="004C7721" w:rsidRPr="00736100" w:rsidRDefault="00736100" w:rsidP="00117356">
      <w:pPr>
        <w:pStyle w:val="Nessunaspaziatura"/>
        <w:spacing w:after="120"/>
        <w:ind w:left="720"/>
        <w:rPr>
          <w:rFonts w:cs="Calibri"/>
          <w:sz w:val="28"/>
          <w:szCs w:val="28"/>
          <w:shd w:val="clear" w:color="auto" w:fill="FFFF00"/>
        </w:rPr>
      </w:pPr>
      <w:r w:rsidRPr="00736100">
        <w:rPr>
          <w:rFonts w:cs="Calibri"/>
          <w:sz w:val="28"/>
          <w:szCs w:val="28"/>
        </w:rPr>
        <w:t>(</w:t>
      </w:r>
      <w:r w:rsidRPr="00736100">
        <w:rPr>
          <w:rFonts w:cs="Calibri"/>
          <w:i/>
          <w:iCs/>
          <w:color w:val="FF0000"/>
          <w:sz w:val="28"/>
          <w:szCs w:val="28"/>
        </w:rPr>
        <w:t>se applicabile</w:t>
      </w:r>
      <w:r w:rsidRPr="00736100">
        <w:rPr>
          <w:rFonts w:cs="Calibri"/>
          <w:sz w:val="28"/>
          <w:szCs w:val="28"/>
        </w:rPr>
        <w:t xml:space="preserve">) … di aver appreso che non è stata adeguatamente testata la sicurezza, l’efficacia e l’innocuità di questi farmaci in individui con disturbi autoimmuni o infiammatori. In tal caso chiederei un approfondimento informativo se disponibile e, considerata la mia anamnesi </w:t>
      </w:r>
      <w:r w:rsidRPr="00E0053E">
        <w:rPr>
          <w:rFonts w:cs="Calibri"/>
          <w:sz w:val="28"/>
          <w:szCs w:val="28"/>
        </w:rPr>
        <w:t>e una possibile interazione con le terapie in essere</w:t>
      </w:r>
      <w:r w:rsidRPr="00736100">
        <w:rPr>
          <w:rFonts w:cs="Calibri"/>
          <w:sz w:val="28"/>
          <w:szCs w:val="28"/>
        </w:rPr>
        <w:t xml:space="preserve">, la inviterei ad assumere un atteggiamento quantomeno prudenziale in attesa di ulteriori dati, anche in base a quanto dettato dalla </w:t>
      </w:r>
      <w:r w:rsidR="00E0053E" w:rsidRPr="00736100">
        <w:rPr>
          <w:rFonts w:cs="Calibri"/>
          <w:sz w:val="28"/>
          <w:szCs w:val="28"/>
        </w:rPr>
        <w:t>Corte costituzionale</w:t>
      </w:r>
      <w:r w:rsidRPr="00736100">
        <w:rPr>
          <w:rFonts w:cs="Calibri"/>
          <w:sz w:val="28"/>
          <w:szCs w:val="28"/>
        </w:rPr>
        <w:t xml:space="preserve"> nella sentenza 258/1994;</w:t>
      </w:r>
      <w:r w:rsidR="004C7721" w:rsidRPr="00736100">
        <w:rPr>
          <w:rFonts w:cs="Calibri"/>
          <w:sz w:val="28"/>
          <w:szCs w:val="28"/>
        </w:rPr>
        <w:br/>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Di aver appreso che i “</w:t>
      </w:r>
      <w:r w:rsidRPr="00736100">
        <w:rPr>
          <w:rFonts w:cs="Calibri"/>
          <w:i/>
          <w:iCs/>
          <w:sz w:val="28"/>
          <w:szCs w:val="28"/>
        </w:rPr>
        <w:t>suddetti vaccini non debbono essere somministrati se il soggetto è allergico al principio attivo o ad uno qualsiasi degli altri componenti presenti in questi farmaci</w:t>
      </w:r>
      <w:r w:rsidRPr="00736100">
        <w:rPr>
          <w:rFonts w:cs="Calibri"/>
          <w:sz w:val="28"/>
          <w:szCs w:val="28"/>
        </w:rPr>
        <w:t>”: per poter rispondere in modo completo e veritiero a tale domanda avrei la necessità, pertanto, di verificare una possibile forma di allergia e/o tossicità verso tali prodotti;</w:t>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Di essere a conoscenza, anche da fatti di cronaca, di episodi fatali, per quanto rari, di trombosi e trombocitopenia in soggetti anamnesticamente non predisposti e che tali episodi si sono verificati per tutti i vaccini attualmente disponibili. Con finalità di prevenzione, desidererei verificare i parametri ematochimici che potrebbero espormi a tali rischi;</w:t>
      </w:r>
    </w:p>
    <w:p w:rsidR="004C7721" w:rsidRDefault="004C7721" w:rsidP="00117356">
      <w:pPr>
        <w:pStyle w:val="Nessunaspaziatura"/>
        <w:numPr>
          <w:ilvl w:val="0"/>
          <w:numId w:val="1"/>
        </w:numPr>
        <w:spacing w:after="120"/>
        <w:rPr>
          <w:rFonts w:cs="Calibri"/>
          <w:sz w:val="28"/>
          <w:szCs w:val="28"/>
        </w:rPr>
      </w:pPr>
      <w:r w:rsidRPr="00736100">
        <w:rPr>
          <w:rFonts w:cs="Calibri"/>
          <w:sz w:val="28"/>
          <w:szCs w:val="28"/>
        </w:rPr>
        <w:lastRenderedPageBreak/>
        <w:t>Sempre tra i quesiti previsti dalla Circolare del Ministero della Salute prot. N° 12238-25/03/2021-DGPRE, si può rilevare come una controindicazione alla vaccinazione in oggetto sia “</w:t>
      </w:r>
      <w:r w:rsidRPr="00736100">
        <w:rPr>
          <w:rFonts w:cs="Calibri"/>
          <w:i/>
          <w:iCs/>
          <w:sz w:val="28"/>
          <w:szCs w:val="28"/>
        </w:rPr>
        <w:t>una condizione di compromissione del sistema immunitario</w:t>
      </w:r>
      <w:r w:rsidRPr="00736100">
        <w:rPr>
          <w:rFonts w:cs="Calibri"/>
          <w:sz w:val="28"/>
          <w:szCs w:val="28"/>
        </w:rPr>
        <w:t>”. Desidererei poter approfondire questo aspetto della mia salute che potrebbe riguardarmi, dal momento che tale condizione spesso si manifesta in maniera “asintomatica”</w:t>
      </w:r>
      <w:r w:rsidR="00E0053E">
        <w:rPr>
          <w:rFonts w:cs="Calibri"/>
          <w:sz w:val="28"/>
          <w:szCs w:val="28"/>
        </w:rPr>
        <w:t xml:space="preserve"> [</w:t>
      </w:r>
      <w:r w:rsidRPr="00E0053E">
        <w:rPr>
          <w:rFonts w:cs="Calibri"/>
          <w:i/>
          <w:iCs/>
          <w:color w:val="FF0000"/>
          <w:sz w:val="28"/>
          <w:szCs w:val="28"/>
        </w:rPr>
        <w:t xml:space="preserve">omettere nel caso in cui siate affetti da malattie autoimmuni, vedi punto </w:t>
      </w:r>
      <w:r w:rsidR="00F40285" w:rsidRPr="00E0053E">
        <w:rPr>
          <w:rFonts w:cs="Calibri"/>
          <w:i/>
          <w:iCs/>
          <w:color w:val="FF0000"/>
          <w:sz w:val="28"/>
          <w:szCs w:val="28"/>
        </w:rPr>
        <w:t>4, precedente</w:t>
      </w:r>
      <w:r w:rsidR="00E0053E" w:rsidRPr="00E0053E">
        <w:rPr>
          <w:rFonts w:cs="Calibri"/>
          <w:sz w:val="28"/>
          <w:szCs w:val="28"/>
        </w:rPr>
        <w:t>]</w:t>
      </w:r>
      <w:r w:rsidRPr="00736100">
        <w:rPr>
          <w:rFonts w:cs="Calibri"/>
          <w:sz w:val="28"/>
          <w:szCs w:val="28"/>
        </w:rPr>
        <w:t>;</w:t>
      </w:r>
    </w:p>
    <w:p w:rsidR="00F40285" w:rsidRDefault="00F40285" w:rsidP="00117356">
      <w:pPr>
        <w:pStyle w:val="Nessunaspaziatura"/>
        <w:numPr>
          <w:ilvl w:val="0"/>
          <w:numId w:val="1"/>
        </w:numPr>
        <w:spacing w:after="120"/>
        <w:rPr>
          <w:rFonts w:cs="Calibri"/>
          <w:sz w:val="28"/>
          <w:szCs w:val="28"/>
        </w:rPr>
      </w:pPr>
      <w:r w:rsidRPr="00736100">
        <w:rPr>
          <w:rFonts w:cs="Calibri"/>
          <w:sz w:val="28"/>
          <w:szCs w:val="28"/>
        </w:rPr>
        <w:t>(</w:t>
      </w:r>
      <w:r w:rsidRPr="00736100">
        <w:rPr>
          <w:rFonts w:cs="Calibri"/>
          <w:i/>
          <w:iCs/>
          <w:color w:val="FF0000"/>
          <w:sz w:val="28"/>
          <w:szCs w:val="28"/>
        </w:rPr>
        <w:t>se applicabile</w:t>
      </w:r>
      <w:r w:rsidRPr="00736100">
        <w:rPr>
          <w:rFonts w:cs="Calibri"/>
          <w:sz w:val="28"/>
          <w:szCs w:val="28"/>
        </w:rPr>
        <w:t xml:space="preserve">) … </w:t>
      </w:r>
      <w:r w:rsidR="00E0053E">
        <w:rPr>
          <w:rFonts w:cs="Calibri"/>
          <w:sz w:val="28"/>
          <w:szCs w:val="28"/>
        </w:rPr>
        <w:t>come emerge dal mio fascicolo sanitario a sua disposizione di essere affetto dalle seguenti patologie … [</w:t>
      </w:r>
      <w:r w:rsidR="00E0053E" w:rsidRPr="00E0053E">
        <w:rPr>
          <w:rFonts w:cs="Calibri"/>
          <w:i/>
          <w:iCs/>
          <w:color w:val="FF0000"/>
          <w:sz w:val="28"/>
          <w:szCs w:val="28"/>
        </w:rPr>
        <w:t>descrivere in estrema sintesi</w:t>
      </w:r>
      <w:r w:rsidR="00E0053E">
        <w:rPr>
          <w:rFonts w:cs="Calibri"/>
          <w:sz w:val="28"/>
          <w:szCs w:val="28"/>
        </w:rPr>
        <w:t>] …</w:t>
      </w:r>
      <w:r>
        <w:rPr>
          <w:rFonts w:cs="Calibri"/>
          <w:sz w:val="28"/>
          <w:szCs w:val="28"/>
        </w:rPr>
        <w:t xml:space="preserve"> </w:t>
      </w:r>
    </w:p>
    <w:p w:rsidR="00E0053E" w:rsidRPr="00736100" w:rsidRDefault="00E0053E" w:rsidP="00117356">
      <w:pPr>
        <w:pStyle w:val="Nessunaspaziatura"/>
        <w:numPr>
          <w:ilvl w:val="0"/>
          <w:numId w:val="1"/>
        </w:numPr>
        <w:spacing w:after="120"/>
        <w:rPr>
          <w:rFonts w:cs="Calibri"/>
          <w:sz w:val="28"/>
          <w:szCs w:val="28"/>
        </w:rPr>
      </w:pPr>
      <w:r w:rsidRPr="00736100">
        <w:rPr>
          <w:rFonts w:cs="Calibri"/>
          <w:sz w:val="28"/>
          <w:szCs w:val="28"/>
        </w:rPr>
        <w:t>(</w:t>
      </w:r>
      <w:r w:rsidRPr="00736100">
        <w:rPr>
          <w:rFonts w:cs="Calibri"/>
          <w:i/>
          <w:iCs/>
          <w:color w:val="FF0000"/>
          <w:sz w:val="28"/>
          <w:szCs w:val="28"/>
        </w:rPr>
        <w:t>se applicabile</w:t>
      </w:r>
      <w:r w:rsidRPr="00736100">
        <w:rPr>
          <w:rFonts w:cs="Calibri"/>
          <w:sz w:val="28"/>
          <w:szCs w:val="28"/>
        </w:rPr>
        <w:t xml:space="preserve">) … </w:t>
      </w:r>
      <w:r>
        <w:rPr>
          <w:rFonts w:cs="Calibri"/>
          <w:sz w:val="28"/>
          <w:szCs w:val="28"/>
        </w:rPr>
        <w:t>di aver avviato l’iter vaccinale con (n) dosi di vaccino [</w:t>
      </w:r>
      <w:r w:rsidRPr="00E0053E">
        <w:rPr>
          <w:rFonts w:cs="Calibri"/>
          <w:i/>
          <w:iCs/>
          <w:color w:val="FF0000"/>
          <w:sz w:val="28"/>
          <w:szCs w:val="28"/>
        </w:rPr>
        <w:t>inserire la topologia o le tipologie, se diverse, dei vaccini somministrati …</w:t>
      </w:r>
      <w:r>
        <w:rPr>
          <w:rFonts w:cs="Calibri"/>
          <w:sz w:val="28"/>
          <w:szCs w:val="28"/>
        </w:rPr>
        <w:t>] in data … [</w:t>
      </w:r>
      <w:r w:rsidRPr="00E0053E">
        <w:rPr>
          <w:rFonts w:cs="Calibri"/>
          <w:i/>
          <w:iCs/>
          <w:sz w:val="28"/>
          <w:szCs w:val="28"/>
        </w:rPr>
        <w:t>inserire la data o le date delle vaccinazioni effettuate</w:t>
      </w:r>
      <w:r>
        <w:rPr>
          <w:rFonts w:cs="Calibri"/>
          <w:sz w:val="28"/>
          <w:szCs w:val="28"/>
        </w:rPr>
        <w:t>] e di aver riscontrato … [</w:t>
      </w:r>
      <w:r w:rsidRPr="00E0053E">
        <w:rPr>
          <w:rFonts w:cs="Calibri"/>
          <w:i/>
          <w:iCs/>
          <w:color w:val="FF0000"/>
          <w:sz w:val="28"/>
          <w:szCs w:val="28"/>
        </w:rPr>
        <w:t>descrivere in estrema sintesi</w:t>
      </w:r>
      <w:r>
        <w:rPr>
          <w:rFonts w:cs="Calibri"/>
          <w:i/>
          <w:iCs/>
          <w:color w:val="FF0000"/>
          <w:sz w:val="28"/>
          <w:szCs w:val="28"/>
        </w:rPr>
        <w:t xml:space="preserve"> le reazioni avverse subite, possibilmente documentandole con allegati disponibili, come segnalazioni di reazioni avverse effettuate dalla persona stessa o meglio da un medico</w:t>
      </w:r>
      <w:r>
        <w:rPr>
          <w:rFonts w:cs="Calibri"/>
          <w:sz w:val="28"/>
          <w:szCs w:val="28"/>
        </w:rPr>
        <w:t>] …</w:t>
      </w:r>
    </w:p>
    <w:p w:rsidR="004C7721" w:rsidRPr="00736100" w:rsidRDefault="004C7721" w:rsidP="00117356">
      <w:pPr>
        <w:pStyle w:val="Nessunaspaziatura"/>
        <w:numPr>
          <w:ilvl w:val="0"/>
          <w:numId w:val="1"/>
        </w:numPr>
        <w:spacing w:after="120"/>
        <w:rPr>
          <w:rFonts w:cs="Calibri"/>
          <w:sz w:val="28"/>
          <w:szCs w:val="28"/>
        </w:rPr>
      </w:pPr>
      <w:r w:rsidRPr="00736100">
        <w:rPr>
          <w:rFonts w:cs="Calibri"/>
          <w:sz w:val="28"/>
          <w:szCs w:val="28"/>
        </w:rPr>
        <w:t>Di voler procedere ad una indagine immunologica specifica, al fine di determinare un eventuale stato di immunizzazione acquisita.</w:t>
      </w:r>
    </w:p>
    <w:p w:rsidR="004C7721" w:rsidRPr="00736100" w:rsidRDefault="004C7721" w:rsidP="00117356">
      <w:pPr>
        <w:pStyle w:val="Paragrafoelenco"/>
        <w:spacing w:after="120" w:line="240" w:lineRule="auto"/>
        <w:rPr>
          <w:rFonts w:cs="Calibri"/>
          <w:sz w:val="28"/>
          <w:szCs w:val="28"/>
        </w:rPr>
      </w:pPr>
    </w:p>
    <w:p w:rsidR="00F40285" w:rsidRDefault="004C7721" w:rsidP="00117356">
      <w:pPr>
        <w:pStyle w:val="Nessunaspaziatura"/>
        <w:spacing w:after="120"/>
        <w:rPr>
          <w:rFonts w:cs="Calibri"/>
          <w:sz w:val="28"/>
          <w:szCs w:val="28"/>
        </w:rPr>
      </w:pPr>
      <w:r w:rsidRPr="00736100">
        <w:rPr>
          <w:rFonts w:cs="Calibri"/>
          <w:sz w:val="28"/>
          <w:szCs w:val="28"/>
        </w:rPr>
        <w:t>Posto quanto sopra, ritengo necessario e urgente richiedere la sua assunzione di responsabilità per quanto di competenza, ricordandole che è nella sua disponibilità certificare condizioni di salute ostative anche in via temporanea e precauzionale.</w:t>
      </w:r>
    </w:p>
    <w:p w:rsidR="004C7721" w:rsidRDefault="004C7721" w:rsidP="00117356">
      <w:pPr>
        <w:pStyle w:val="Nessunaspaziatura"/>
        <w:spacing w:after="120"/>
        <w:rPr>
          <w:rFonts w:cs="Calibri"/>
          <w:sz w:val="28"/>
          <w:szCs w:val="28"/>
        </w:rPr>
      </w:pPr>
      <w:r w:rsidRPr="00736100">
        <w:rPr>
          <w:rFonts w:cs="Calibri"/>
          <w:sz w:val="28"/>
          <w:szCs w:val="28"/>
        </w:rPr>
        <w:t xml:space="preserve">Ritengo, altresì, necessario e urgente </w:t>
      </w:r>
      <w:r w:rsidRPr="00736100">
        <w:rPr>
          <w:sz w:val="28"/>
          <w:szCs w:val="28"/>
        </w:rPr>
        <w:t xml:space="preserve">ricevere adeguate informazioni e indicazioni su come procedere per l’effettuazione dei necessari accertamenti diagnostici che ritengo propedeutici verso qualsiasi azione successiva, inclusa la mia eventuale adesione consapevole e informata ai protocolli vaccinali previsti dal piano </w:t>
      </w:r>
      <w:r w:rsidRPr="00736100">
        <w:rPr>
          <w:rFonts w:cs="Calibri"/>
          <w:sz w:val="28"/>
          <w:szCs w:val="28"/>
        </w:rPr>
        <w:t>vaccinale di cui all’articolo 1, comma 457, della legge 30 dicembre 2020, n. 178.</w:t>
      </w:r>
    </w:p>
    <w:p w:rsidR="006C7B9E" w:rsidRPr="00736100" w:rsidRDefault="006C7B9E" w:rsidP="00117356">
      <w:pPr>
        <w:pStyle w:val="Nessunaspaziatura"/>
        <w:spacing w:after="120"/>
        <w:rPr>
          <w:rFonts w:cs="Calibri"/>
          <w:sz w:val="28"/>
          <w:szCs w:val="28"/>
        </w:rPr>
      </w:pPr>
    </w:p>
    <w:p w:rsidR="004C7721" w:rsidRPr="006C7B9E" w:rsidRDefault="006C7B9E" w:rsidP="006C7B9E">
      <w:pPr>
        <w:pStyle w:val="Nessunaspaziatura"/>
        <w:spacing w:after="120"/>
        <w:jc w:val="center"/>
        <w:rPr>
          <w:rFonts w:cs="Calibri"/>
          <w:b/>
          <w:bCs/>
          <w:sz w:val="28"/>
          <w:szCs w:val="28"/>
        </w:rPr>
      </w:pPr>
      <w:r w:rsidRPr="006C7B9E">
        <w:rPr>
          <w:rFonts w:cs="Calibri"/>
          <w:b/>
          <w:bCs/>
          <w:sz w:val="28"/>
          <w:szCs w:val="28"/>
        </w:rPr>
        <w:t>CHIEDO, PERTANTO</w:t>
      </w:r>
    </w:p>
    <w:p w:rsidR="00F40285" w:rsidRDefault="006C7B9E" w:rsidP="00117356">
      <w:pPr>
        <w:pStyle w:val="Nessunaspaziatura"/>
        <w:spacing w:after="120"/>
        <w:rPr>
          <w:rFonts w:cs="Calibri"/>
          <w:sz w:val="28"/>
          <w:szCs w:val="28"/>
        </w:rPr>
      </w:pPr>
      <w:r>
        <w:rPr>
          <w:rFonts w:cs="Calibri"/>
          <w:sz w:val="28"/>
          <w:szCs w:val="28"/>
        </w:rPr>
        <w:t>Di considerare i seguenti accertamenti diagnostici come base per determinare l’adeguatezza della prescrizione vaccinale</w:t>
      </w:r>
      <w:r w:rsidR="00C91662">
        <w:rPr>
          <w:rFonts w:cs="Calibri"/>
          <w:sz w:val="28"/>
          <w:szCs w:val="28"/>
        </w:rPr>
        <w:t xml:space="preserve">, anche ai sensi della Circolare del Ministero della Salute </w:t>
      </w:r>
      <w:r w:rsidR="00C91662" w:rsidRPr="00C91662">
        <w:rPr>
          <w:rFonts w:cs="Calibri"/>
          <w:sz w:val="28"/>
          <w:szCs w:val="28"/>
        </w:rPr>
        <w:t>0035309-04/08/2021-DGPRE-DGPRE-P</w:t>
      </w:r>
      <w:r>
        <w:rPr>
          <w:rFonts w:cs="Calibri"/>
          <w:sz w:val="28"/>
          <w:szCs w:val="28"/>
        </w:rPr>
        <w:t>:</w:t>
      </w:r>
    </w:p>
    <w:p w:rsidR="006C7B9E" w:rsidRPr="006C7B9E" w:rsidRDefault="006C7B9E" w:rsidP="006A579A">
      <w:pPr>
        <w:pStyle w:val="Nessunaspaziatura"/>
        <w:numPr>
          <w:ilvl w:val="0"/>
          <w:numId w:val="2"/>
        </w:numPr>
        <w:spacing w:after="120"/>
        <w:rPr>
          <w:rFonts w:cs="Calibri"/>
          <w:sz w:val="28"/>
          <w:szCs w:val="28"/>
        </w:rPr>
      </w:pPr>
      <w:r w:rsidRPr="00C91662">
        <w:rPr>
          <w:rFonts w:cs="Calibri"/>
          <w:b/>
          <w:bCs/>
          <w:sz w:val="28"/>
          <w:szCs w:val="28"/>
        </w:rPr>
        <w:t>Generali</w:t>
      </w:r>
      <w:r>
        <w:rPr>
          <w:rFonts w:cs="Calibri"/>
          <w:sz w:val="28"/>
          <w:szCs w:val="28"/>
        </w:rPr>
        <w:t xml:space="preserve">: </w:t>
      </w:r>
      <w:r w:rsidRPr="006C7B9E">
        <w:rPr>
          <w:rFonts w:cs="Calibri"/>
          <w:sz w:val="28"/>
          <w:szCs w:val="28"/>
        </w:rPr>
        <w:t>Fibrinogeno</w:t>
      </w:r>
      <w:r>
        <w:rPr>
          <w:rFonts w:cs="Calibri"/>
          <w:sz w:val="28"/>
          <w:szCs w:val="28"/>
        </w:rPr>
        <w:t xml:space="preserve">; </w:t>
      </w:r>
      <w:r w:rsidRPr="006C7B9E">
        <w:rPr>
          <w:rFonts w:cs="Calibri"/>
          <w:sz w:val="28"/>
          <w:szCs w:val="28"/>
        </w:rPr>
        <w:t>Anticorpi anti-trombina</w:t>
      </w:r>
      <w:r>
        <w:rPr>
          <w:rFonts w:cs="Calibri"/>
          <w:sz w:val="28"/>
          <w:szCs w:val="28"/>
        </w:rPr>
        <w:t xml:space="preserve">; </w:t>
      </w:r>
      <w:r w:rsidRPr="006C7B9E">
        <w:rPr>
          <w:rFonts w:cs="Calibri"/>
          <w:sz w:val="28"/>
          <w:szCs w:val="28"/>
        </w:rPr>
        <w:t>Anticorpi anti-PF4</w:t>
      </w:r>
      <w:r>
        <w:rPr>
          <w:rFonts w:cs="Calibri"/>
          <w:sz w:val="28"/>
          <w:szCs w:val="28"/>
        </w:rPr>
        <w:t xml:space="preserve">; </w:t>
      </w:r>
      <w:proofErr w:type="spellStart"/>
      <w:r w:rsidRPr="006C7B9E">
        <w:rPr>
          <w:rFonts w:cs="Calibri"/>
          <w:sz w:val="28"/>
          <w:szCs w:val="28"/>
        </w:rPr>
        <w:t>D-dimero</w:t>
      </w:r>
      <w:proofErr w:type="spellEnd"/>
      <w:r>
        <w:rPr>
          <w:rFonts w:cs="Calibri"/>
          <w:sz w:val="28"/>
          <w:szCs w:val="28"/>
        </w:rPr>
        <w:t xml:space="preserve">; </w:t>
      </w:r>
      <w:r w:rsidRPr="006C7B9E">
        <w:rPr>
          <w:rFonts w:cs="Calibri"/>
          <w:sz w:val="28"/>
          <w:szCs w:val="28"/>
        </w:rPr>
        <w:t>PTT</w:t>
      </w:r>
      <w:r>
        <w:rPr>
          <w:rFonts w:cs="Calibri"/>
          <w:sz w:val="28"/>
          <w:szCs w:val="28"/>
        </w:rPr>
        <w:t xml:space="preserve">; </w:t>
      </w:r>
      <w:proofErr w:type="spellStart"/>
      <w:r w:rsidRPr="006C7B9E">
        <w:rPr>
          <w:rFonts w:cs="Calibri"/>
          <w:sz w:val="28"/>
          <w:szCs w:val="28"/>
        </w:rPr>
        <w:t>ePTT</w:t>
      </w:r>
      <w:proofErr w:type="spellEnd"/>
      <w:r>
        <w:rPr>
          <w:rFonts w:cs="Calibri"/>
          <w:sz w:val="28"/>
          <w:szCs w:val="28"/>
        </w:rPr>
        <w:t xml:space="preserve">; </w:t>
      </w:r>
      <w:proofErr w:type="spellStart"/>
      <w:r w:rsidRPr="006C7B9E">
        <w:rPr>
          <w:rFonts w:cs="Calibri"/>
          <w:sz w:val="28"/>
          <w:szCs w:val="28"/>
        </w:rPr>
        <w:t>Omocisteina</w:t>
      </w:r>
      <w:proofErr w:type="spellEnd"/>
      <w:r>
        <w:rPr>
          <w:rFonts w:cs="Calibri"/>
          <w:sz w:val="28"/>
          <w:szCs w:val="28"/>
        </w:rPr>
        <w:t xml:space="preserve">; </w:t>
      </w:r>
      <w:r w:rsidRPr="006C7B9E">
        <w:rPr>
          <w:rFonts w:cs="Calibri"/>
          <w:sz w:val="28"/>
          <w:szCs w:val="28"/>
        </w:rPr>
        <w:t>Emocromo con formula</w:t>
      </w:r>
      <w:r>
        <w:rPr>
          <w:rFonts w:cs="Calibri"/>
          <w:sz w:val="28"/>
          <w:szCs w:val="28"/>
        </w:rPr>
        <w:t xml:space="preserve">; </w:t>
      </w:r>
      <w:r w:rsidRPr="006C7B9E">
        <w:rPr>
          <w:rFonts w:cs="Calibri"/>
          <w:sz w:val="28"/>
          <w:szCs w:val="28"/>
        </w:rPr>
        <w:t>Elettroforesi</w:t>
      </w:r>
      <w:r>
        <w:rPr>
          <w:rFonts w:cs="Calibri"/>
          <w:sz w:val="28"/>
          <w:szCs w:val="28"/>
        </w:rPr>
        <w:t xml:space="preserve">; </w:t>
      </w:r>
      <w:r w:rsidRPr="006C7B9E">
        <w:rPr>
          <w:rFonts w:cs="Calibri"/>
          <w:sz w:val="28"/>
          <w:szCs w:val="28"/>
        </w:rPr>
        <w:t xml:space="preserve">Fattori della coagulazione (FT V, II, XIII, X, </w:t>
      </w:r>
      <w:proofErr w:type="spellStart"/>
      <w:r w:rsidRPr="006C7B9E">
        <w:rPr>
          <w:rFonts w:cs="Calibri"/>
          <w:sz w:val="28"/>
          <w:szCs w:val="28"/>
        </w:rPr>
        <w:t>vW</w:t>
      </w:r>
      <w:proofErr w:type="spellEnd"/>
      <w:r w:rsidRPr="006C7B9E">
        <w:rPr>
          <w:rFonts w:cs="Calibri"/>
          <w:sz w:val="28"/>
          <w:szCs w:val="28"/>
        </w:rPr>
        <w:t>)</w:t>
      </w:r>
      <w:r>
        <w:rPr>
          <w:rFonts w:cs="Calibri"/>
          <w:sz w:val="28"/>
          <w:szCs w:val="28"/>
        </w:rPr>
        <w:t xml:space="preserve">; </w:t>
      </w:r>
      <w:r w:rsidRPr="006C7B9E">
        <w:rPr>
          <w:rFonts w:cs="Calibri"/>
          <w:sz w:val="28"/>
          <w:szCs w:val="28"/>
        </w:rPr>
        <w:t>Sistema del complemento</w:t>
      </w:r>
      <w:r>
        <w:rPr>
          <w:rFonts w:cs="Calibri"/>
          <w:sz w:val="28"/>
          <w:szCs w:val="28"/>
        </w:rPr>
        <w:t xml:space="preserve">; </w:t>
      </w:r>
      <w:r w:rsidRPr="006C7B9E">
        <w:rPr>
          <w:rFonts w:cs="Calibri"/>
          <w:sz w:val="28"/>
          <w:szCs w:val="28"/>
        </w:rPr>
        <w:t>Pannello linfocitario completo</w:t>
      </w:r>
      <w:r>
        <w:rPr>
          <w:rFonts w:cs="Calibri"/>
          <w:sz w:val="28"/>
          <w:szCs w:val="28"/>
        </w:rPr>
        <w:t xml:space="preserve">; </w:t>
      </w:r>
      <w:r w:rsidRPr="006C7B9E">
        <w:rPr>
          <w:rFonts w:cs="Calibri"/>
          <w:sz w:val="28"/>
          <w:szCs w:val="28"/>
        </w:rPr>
        <w:t>Anticorpi circolanti (sierologico) RBD, S1, S2</w:t>
      </w:r>
      <w:r>
        <w:rPr>
          <w:rFonts w:cs="Calibri"/>
          <w:sz w:val="28"/>
          <w:szCs w:val="28"/>
        </w:rPr>
        <w:t xml:space="preserve">; </w:t>
      </w:r>
      <w:r w:rsidRPr="006C7B9E">
        <w:rPr>
          <w:rFonts w:cs="Calibri"/>
          <w:sz w:val="28"/>
          <w:szCs w:val="28"/>
        </w:rPr>
        <w:t>parte eritrocitaria e ferro (Sideremia, Ferritina, Transferrina, Ferroportina, TIBC, RBC, ematocrito, emoglobina, ecc...)</w:t>
      </w:r>
      <w:r>
        <w:rPr>
          <w:rFonts w:cs="Calibri"/>
          <w:sz w:val="28"/>
          <w:szCs w:val="28"/>
        </w:rPr>
        <w:t xml:space="preserve">; </w:t>
      </w:r>
      <w:r w:rsidRPr="006C7B9E">
        <w:rPr>
          <w:rFonts w:cs="Calibri"/>
          <w:sz w:val="28"/>
          <w:szCs w:val="28"/>
        </w:rPr>
        <w:t>anticorpi anti-fosfolipidi</w:t>
      </w:r>
    </w:p>
    <w:p w:rsidR="006C7B9E" w:rsidRDefault="006C7B9E" w:rsidP="006A579A">
      <w:pPr>
        <w:pStyle w:val="Nessunaspaziatura"/>
        <w:numPr>
          <w:ilvl w:val="0"/>
          <w:numId w:val="2"/>
        </w:numPr>
        <w:spacing w:after="120"/>
        <w:rPr>
          <w:rFonts w:cs="Calibri"/>
          <w:sz w:val="28"/>
          <w:szCs w:val="28"/>
        </w:rPr>
      </w:pPr>
      <w:r w:rsidRPr="00C91662">
        <w:rPr>
          <w:rFonts w:cs="Calibri"/>
          <w:b/>
          <w:bCs/>
          <w:sz w:val="28"/>
          <w:szCs w:val="28"/>
        </w:rPr>
        <w:lastRenderedPageBreak/>
        <w:t>Mutazioni</w:t>
      </w:r>
      <w:r w:rsidRPr="006C7B9E">
        <w:rPr>
          <w:rFonts w:cs="Calibri"/>
          <w:sz w:val="28"/>
          <w:szCs w:val="28"/>
        </w:rPr>
        <w:t>:</w:t>
      </w:r>
      <w:r>
        <w:rPr>
          <w:rFonts w:cs="Calibri"/>
          <w:sz w:val="28"/>
          <w:szCs w:val="28"/>
        </w:rPr>
        <w:t xml:space="preserve"> </w:t>
      </w:r>
      <w:r w:rsidRPr="006C7B9E">
        <w:rPr>
          <w:rFonts w:cs="Calibri"/>
          <w:sz w:val="28"/>
          <w:szCs w:val="28"/>
        </w:rPr>
        <w:t>FATTORE V DI LEIDEN</w:t>
      </w:r>
      <w:r>
        <w:rPr>
          <w:rFonts w:cs="Calibri"/>
          <w:sz w:val="28"/>
          <w:szCs w:val="28"/>
        </w:rPr>
        <w:t xml:space="preserve">; </w:t>
      </w:r>
      <w:r w:rsidRPr="006C7B9E">
        <w:rPr>
          <w:rFonts w:cs="Calibri"/>
          <w:sz w:val="28"/>
          <w:szCs w:val="28"/>
        </w:rPr>
        <w:t>FATTORE MTHFR in etero e omozigosi</w:t>
      </w:r>
      <w:r>
        <w:rPr>
          <w:rFonts w:cs="Calibri"/>
          <w:sz w:val="28"/>
          <w:szCs w:val="28"/>
        </w:rPr>
        <w:t xml:space="preserve">; </w:t>
      </w:r>
      <w:r w:rsidRPr="006C7B9E">
        <w:rPr>
          <w:rFonts w:cs="Calibri"/>
          <w:sz w:val="28"/>
          <w:szCs w:val="28"/>
        </w:rPr>
        <w:t xml:space="preserve">FATTORE </w:t>
      </w:r>
      <w:r>
        <w:rPr>
          <w:rFonts w:cs="Calibri"/>
          <w:sz w:val="28"/>
          <w:szCs w:val="28"/>
        </w:rPr>
        <w:t xml:space="preserve">; </w:t>
      </w:r>
      <w:r w:rsidRPr="006C7B9E">
        <w:rPr>
          <w:rFonts w:cs="Calibri"/>
          <w:sz w:val="28"/>
          <w:szCs w:val="28"/>
        </w:rPr>
        <w:t>AI-1</w:t>
      </w:r>
      <w:r>
        <w:rPr>
          <w:rFonts w:cs="Calibri"/>
          <w:sz w:val="28"/>
          <w:szCs w:val="28"/>
        </w:rPr>
        <w:t xml:space="preserve">; </w:t>
      </w:r>
      <w:r w:rsidRPr="006C7B9E">
        <w:rPr>
          <w:rFonts w:cs="Calibri"/>
          <w:sz w:val="28"/>
          <w:szCs w:val="28"/>
        </w:rPr>
        <w:t>FATTORE XIII</w:t>
      </w:r>
      <w:r>
        <w:rPr>
          <w:rFonts w:cs="Calibri"/>
          <w:sz w:val="28"/>
          <w:szCs w:val="28"/>
        </w:rPr>
        <w:t xml:space="preserve">; </w:t>
      </w:r>
      <w:r w:rsidRPr="006C7B9E">
        <w:rPr>
          <w:rFonts w:cs="Calibri"/>
          <w:sz w:val="28"/>
          <w:szCs w:val="28"/>
        </w:rPr>
        <w:t>FATTORE II</w:t>
      </w:r>
      <w:r w:rsidR="00FC0BC1">
        <w:rPr>
          <w:rFonts w:cs="Calibri"/>
          <w:sz w:val="28"/>
          <w:szCs w:val="28"/>
        </w:rPr>
        <w:t>;</w:t>
      </w:r>
    </w:p>
    <w:p w:rsidR="006C7B9E" w:rsidRDefault="006C7B9E" w:rsidP="006A579A">
      <w:pPr>
        <w:pStyle w:val="Nessunaspaziatura"/>
        <w:numPr>
          <w:ilvl w:val="0"/>
          <w:numId w:val="2"/>
        </w:numPr>
        <w:spacing w:after="120"/>
        <w:rPr>
          <w:rFonts w:cs="Calibri"/>
          <w:sz w:val="28"/>
          <w:szCs w:val="28"/>
        </w:rPr>
      </w:pPr>
      <w:r w:rsidRPr="00C91662">
        <w:rPr>
          <w:rFonts w:cs="Calibri"/>
          <w:b/>
          <w:bCs/>
          <w:sz w:val="28"/>
          <w:szCs w:val="28"/>
        </w:rPr>
        <w:t>Autoimmunità</w:t>
      </w:r>
      <w:r w:rsidRPr="006C7B9E">
        <w:rPr>
          <w:rFonts w:cs="Calibri"/>
          <w:sz w:val="28"/>
          <w:szCs w:val="28"/>
        </w:rPr>
        <w:t>:</w:t>
      </w:r>
      <w:r>
        <w:rPr>
          <w:rFonts w:cs="Calibri"/>
          <w:sz w:val="28"/>
          <w:szCs w:val="28"/>
        </w:rPr>
        <w:t xml:space="preserve"> </w:t>
      </w:r>
      <w:r w:rsidRPr="006C7B9E">
        <w:rPr>
          <w:rFonts w:cs="Calibri"/>
          <w:sz w:val="28"/>
          <w:szCs w:val="28"/>
        </w:rPr>
        <w:t>PCR</w:t>
      </w:r>
      <w:r>
        <w:rPr>
          <w:rFonts w:cs="Calibri"/>
          <w:sz w:val="28"/>
          <w:szCs w:val="28"/>
        </w:rPr>
        <w:t xml:space="preserve">; </w:t>
      </w:r>
      <w:r w:rsidRPr="006C7B9E">
        <w:rPr>
          <w:rFonts w:cs="Calibri"/>
          <w:sz w:val="28"/>
          <w:szCs w:val="28"/>
        </w:rPr>
        <w:t>VES</w:t>
      </w:r>
      <w:r>
        <w:rPr>
          <w:rFonts w:cs="Calibri"/>
          <w:sz w:val="28"/>
          <w:szCs w:val="28"/>
        </w:rPr>
        <w:t xml:space="preserve">; </w:t>
      </w:r>
      <w:r w:rsidRPr="006C7B9E">
        <w:rPr>
          <w:rFonts w:cs="Calibri"/>
          <w:sz w:val="28"/>
          <w:szCs w:val="28"/>
        </w:rPr>
        <w:t>IL-1beta</w:t>
      </w:r>
      <w:r>
        <w:rPr>
          <w:rFonts w:cs="Calibri"/>
          <w:sz w:val="28"/>
          <w:szCs w:val="28"/>
        </w:rPr>
        <w:t xml:space="preserve">; </w:t>
      </w:r>
      <w:r w:rsidRPr="006C7B9E">
        <w:rPr>
          <w:rFonts w:cs="Calibri"/>
          <w:sz w:val="28"/>
          <w:szCs w:val="28"/>
        </w:rPr>
        <w:t>IL-6</w:t>
      </w:r>
      <w:r>
        <w:rPr>
          <w:rFonts w:cs="Calibri"/>
          <w:sz w:val="28"/>
          <w:szCs w:val="28"/>
        </w:rPr>
        <w:t xml:space="preserve">; </w:t>
      </w:r>
      <w:r w:rsidRPr="006C7B9E">
        <w:rPr>
          <w:rFonts w:cs="Calibri"/>
          <w:sz w:val="28"/>
          <w:szCs w:val="28"/>
        </w:rPr>
        <w:t>TNF-alfa</w:t>
      </w:r>
      <w:r>
        <w:rPr>
          <w:rFonts w:cs="Calibri"/>
          <w:sz w:val="28"/>
          <w:szCs w:val="28"/>
        </w:rPr>
        <w:t xml:space="preserve">; </w:t>
      </w:r>
      <w:r w:rsidRPr="006C7B9E">
        <w:rPr>
          <w:rFonts w:cs="Calibri"/>
          <w:sz w:val="28"/>
          <w:szCs w:val="28"/>
        </w:rPr>
        <w:t>IL-17</w:t>
      </w:r>
      <w:r w:rsidR="00FC0BC1">
        <w:rPr>
          <w:rFonts w:cs="Calibri"/>
          <w:sz w:val="28"/>
          <w:szCs w:val="28"/>
        </w:rPr>
        <w:t>°;</w:t>
      </w:r>
    </w:p>
    <w:p w:rsidR="00FC0BC1" w:rsidRDefault="00FC0BC1" w:rsidP="006A579A">
      <w:pPr>
        <w:pStyle w:val="Nessunaspaziatura"/>
        <w:numPr>
          <w:ilvl w:val="0"/>
          <w:numId w:val="2"/>
        </w:numPr>
        <w:spacing w:after="120"/>
        <w:rPr>
          <w:rFonts w:cs="Calibri"/>
          <w:sz w:val="28"/>
          <w:szCs w:val="28"/>
        </w:rPr>
      </w:pPr>
      <w:r w:rsidRPr="00C91662">
        <w:rPr>
          <w:rFonts w:cs="Calibri"/>
          <w:b/>
          <w:bCs/>
          <w:sz w:val="28"/>
          <w:szCs w:val="28"/>
        </w:rPr>
        <w:t>Test allergologici</w:t>
      </w:r>
      <w:r>
        <w:rPr>
          <w:rFonts w:cs="Calibri"/>
          <w:sz w:val="28"/>
          <w:szCs w:val="28"/>
        </w:rPr>
        <w:t xml:space="preserve"> specifici atti a stabilire </w:t>
      </w:r>
      <w:r w:rsidR="00C91662">
        <w:rPr>
          <w:rFonts w:cs="Calibri"/>
          <w:sz w:val="28"/>
          <w:szCs w:val="28"/>
        </w:rPr>
        <w:t>ipersensibilità ai principi attivi dei vaccini somministrabili.</w:t>
      </w:r>
    </w:p>
    <w:p w:rsidR="006C7B9E" w:rsidRPr="006C7B9E" w:rsidRDefault="006C7B9E" w:rsidP="006C7B9E">
      <w:pPr>
        <w:pStyle w:val="Didefault"/>
        <w:jc w:val="both"/>
        <w:rPr>
          <w:rFonts w:asciiTheme="minorHAnsi" w:hAnsiTheme="minorHAnsi" w:cstheme="minorHAnsi"/>
          <w:sz w:val="28"/>
          <w:szCs w:val="28"/>
        </w:rPr>
      </w:pPr>
      <w:r w:rsidRPr="006C7B9E">
        <w:rPr>
          <w:rFonts w:asciiTheme="minorHAnsi" w:hAnsiTheme="minorHAnsi" w:cstheme="minorHAnsi"/>
          <w:sz w:val="28"/>
          <w:szCs w:val="28"/>
        </w:rPr>
        <w:t xml:space="preserve">Le chiedo </w:t>
      </w:r>
      <w:r>
        <w:rPr>
          <w:rFonts w:asciiTheme="minorHAnsi" w:hAnsiTheme="minorHAnsi" w:cstheme="minorHAnsi"/>
          <w:sz w:val="28"/>
          <w:szCs w:val="28"/>
        </w:rPr>
        <w:t xml:space="preserve">altresì di </w:t>
      </w:r>
      <w:r w:rsidRPr="006C7B9E">
        <w:rPr>
          <w:rFonts w:asciiTheme="minorHAnsi" w:hAnsiTheme="minorHAnsi" w:cstheme="minorHAnsi"/>
          <w:sz w:val="28"/>
          <w:szCs w:val="28"/>
        </w:rPr>
        <w:t xml:space="preserve">prescrivermi </w:t>
      </w:r>
      <w:r>
        <w:rPr>
          <w:rFonts w:asciiTheme="minorHAnsi" w:hAnsiTheme="minorHAnsi" w:cstheme="minorHAnsi"/>
          <w:sz w:val="28"/>
          <w:szCs w:val="28"/>
        </w:rPr>
        <w:t xml:space="preserve">gli accertamenti su indicati </w:t>
      </w:r>
      <w:r w:rsidRPr="006C7B9E">
        <w:rPr>
          <w:rFonts w:asciiTheme="minorHAnsi" w:hAnsiTheme="minorHAnsi" w:cstheme="minorHAnsi"/>
          <w:sz w:val="28"/>
          <w:szCs w:val="28"/>
        </w:rPr>
        <w:t xml:space="preserve">a carico del Sistema Sanitario Nazionale, attraverso il codice di esenzione </w:t>
      </w:r>
      <w:r w:rsidRPr="006C7B9E">
        <w:rPr>
          <w:rFonts w:asciiTheme="minorHAnsi" w:hAnsiTheme="minorHAnsi" w:cstheme="minorHAnsi"/>
          <w:sz w:val="28"/>
          <w:szCs w:val="28"/>
          <w:lang w:val="ar-SA"/>
        </w:rPr>
        <w:t>“</w:t>
      </w:r>
      <w:r w:rsidRPr="006C7B9E">
        <w:rPr>
          <w:rFonts w:asciiTheme="minorHAnsi" w:hAnsiTheme="minorHAnsi" w:cstheme="minorHAnsi"/>
          <w:sz w:val="28"/>
          <w:szCs w:val="28"/>
        </w:rPr>
        <w:t>P03”, così come previsto dall’art. 1 comma 4 lett. b del D.Lgs.124/1998</w:t>
      </w:r>
      <w:r w:rsidRPr="006C7B9E">
        <w:rPr>
          <w:rStyle w:val="Richiamoallanotaapidipagina"/>
          <w:rFonts w:asciiTheme="minorHAnsi" w:eastAsia="Times Roman" w:hAnsiTheme="minorHAnsi" w:cstheme="minorHAnsi"/>
          <w:sz w:val="28"/>
          <w:szCs w:val="28"/>
        </w:rPr>
        <w:footnoteReference w:id="4"/>
      </w:r>
      <w:r w:rsidRPr="006C7B9E">
        <w:rPr>
          <w:rFonts w:asciiTheme="minorHAnsi" w:hAnsiTheme="minorHAnsi" w:cstheme="minorHAnsi"/>
          <w:sz w:val="28"/>
          <w:szCs w:val="28"/>
        </w:rPr>
        <w:t xml:space="preserve"> – prima parte (G.U. n. 99 del 30/04/1998) e DPCM 12/01/2017 (G.U. n. 65 del 18/03/2017)</w:t>
      </w:r>
      <w:r w:rsidR="002610DB">
        <w:rPr>
          <w:rFonts w:asciiTheme="minorHAnsi" w:hAnsiTheme="minorHAnsi" w:cstheme="minorHAnsi"/>
          <w:sz w:val="28"/>
          <w:szCs w:val="28"/>
        </w:rPr>
        <w:t xml:space="preserve"> e di produrre, nel contempo, </w:t>
      </w:r>
      <w:r w:rsidR="002610DB" w:rsidRPr="00907029">
        <w:rPr>
          <w:rFonts w:asciiTheme="minorHAnsi" w:hAnsiTheme="minorHAnsi" w:cstheme="minorHAnsi"/>
          <w:b/>
          <w:bCs/>
          <w:sz w:val="28"/>
          <w:szCs w:val="28"/>
          <w:u w:val="single"/>
        </w:rPr>
        <w:t>certificazione di differimento dalla vaccinazione</w:t>
      </w:r>
      <w:r w:rsidR="002610DB">
        <w:rPr>
          <w:rFonts w:asciiTheme="minorHAnsi" w:hAnsiTheme="minorHAnsi" w:cstheme="minorHAnsi"/>
          <w:sz w:val="28"/>
          <w:szCs w:val="28"/>
        </w:rPr>
        <w:t xml:space="preserve"> in attesa degli esiti degli accertamenti stessi.</w:t>
      </w:r>
    </w:p>
    <w:p w:rsidR="00F40285" w:rsidRPr="00736100" w:rsidRDefault="00F40285" w:rsidP="00117356">
      <w:pPr>
        <w:pStyle w:val="Nessunaspaziatura"/>
        <w:spacing w:after="120"/>
        <w:rPr>
          <w:rFonts w:cs="Calibri"/>
          <w:sz w:val="28"/>
          <w:szCs w:val="28"/>
        </w:rPr>
      </w:pPr>
    </w:p>
    <w:p w:rsidR="004C7721" w:rsidRPr="00736100" w:rsidRDefault="004C7721" w:rsidP="00117356">
      <w:pPr>
        <w:pStyle w:val="Nessunaspaziatura"/>
        <w:spacing w:after="120"/>
        <w:rPr>
          <w:rFonts w:cs="Calibri"/>
          <w:sz w:val="28"/>
          <w:szCs w:val="28"/>
        </w:rPr>
      </w:pPr>
      <w:r w:rsidRPr="00736100">
        <w:rPr>
          <w:rFonts w:cs="Calibri"/>
          <w:sz w:val="28"/>
          <w:szCs w:val="28"/>
        </w:rPr>
        <w:t>Con i migliori saluti,</w:t>
      </w:r>
    </w:p>
    <w:p w:rsidR="004C7721" w:rsidRDefault="004C7721" w:rsidP="00117356">
      <w:pPr>
        <w:spacing w:after="120"/>
        <w:rPr>
          <w:rFonts w:cs="Calibri"/>
          <w:sz w:val="28"/>
          <w:szCs w:val="28"/>
        </w:rPr>
      </w:pPr>
    </w:p>
    <w:p w:rsidR="006A579A" w:rsidRDefault="006A579A" w:rsidP="00117356">
      <w:pPr>
        <w:spacing w:after="120"/>
        <w:rPr>
          <w:rFonts w:cs="Calibri"/>
          <w:sz w:val="28"/>
          <w:szCs w:val="28"/>
        </w:rPr>
      </w:pPr>
    </w:p>
    <w:p w:rsidR="006A579A" w:rsidRDefault="006A579A" w:rsidP="00117356">
      <w:pPr>
        <w:spacing w:after="120"/>
        <w:rPr>
          <w:rFonts w:cs="Calibri"/>
          <w:sz w:val="28"/>
          <w:szCs w:val="28"/>
        </w:rPr>
      </w:pPr>
    </w:p>
    <w:p w:rsidR="006A579A" w:rsidRPr="00736100" w:rsidRDefault="006A579A" w:rsidP="00117356">
      <w:pPr>
        <w:spacing w:after="120"/>
        <w:rPr>
          <w:rFonts w:cs="Calibri"/>
          <w:sz w:val="28"/>
          <w:szCs w:val="28"/>
        </w:rPr>
      </w:pPr>
    </w:p>
    <w:p w:rsidR="004C7721" w:rsidRDefault="004C7721" w:rsidP="00117356">
      <w:pPr>
        <w:spacing w:after="120"/>
        <w:rPr>
          <w:rFonts w:cs="Calibri"/>
          <w:sz w:val="28"/>
          <w:szCs w:val="28"/>
        </w:rPr>
      </w:pPr>
      <w:r w:rsidRPr="00736100">
        <w:rPr>
          <w:rFonts w:cs="Calibri"/>
          <w:sz w:val="28"/>
          <w:szCs w:val="28"/>
        </w:rPr>
        <w:t>………………………….</w:t>
      </w:r>
    </w:p>
    <w:p w:rsidR="00A2046B" w:rsidRDefault="00A2046B" w:rsidP="00117356">
      <w:pPr>
        <w:spacing w:after="120"/>
      </w:pPr>
    </w:p>
    <w:sectPr w:rsidR="00A2046B" w:rsidSect="00A415E3">
      <w:pgSz w:w="11906" w:h="16838"/>
      <w:pgMar w:top="1417" w:right="1134" w:bottom="1134"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FF" w:rsidRDefault="00972FFF" w:rsidP="006C7B9E">
      <w:r>
        <w:separator/>
      </w:r>
    </w:p>
  </w:endnote>
  <w:endnote w:type="continuationSeparator" w:id="0">
    <w:p w:rsidR="00972FFF" w:rsidRDefault="00972FFF" w:rsidP="006C7B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FF" w:rsidRDefault="00972FFF" w:rsidP="006C7B9E">
      <w:r>
        <w:separator/>
      </w:r>
    </w:p>
  </w:footnote>
  <w:footnote w:type="continuationSeparator" w:id="0">
    <w:p w:rsidR="00972FFF" w:rsidRDefault="00972FFF" w:rsidP="006C7B9E">
      <w:r>
        <w:continuationSeparator/>
      </w:r>
    </w:p>
  </w:footnote>
  <w:footnote w:id="1">
    <w:p w:rsidR="00766CE9" w:rsidRDefault="00766CE9">
      <w:pPr>
        <w:pStyle w:val="Testonotaapidipagina"/>
      </w:pPr>
      <w:r>
        <w:rPr>
          <w:rStyle w:val="Rimandonotaapidipagina"/>
        </w:rPr>
        <w:footnoteRef/>
      </w:r>
      <w:r>
        <w:t xml:space="preserve"> </w:t>
      </w:r>
      <w:r w:rsidRPr="00766CE9">
        <w:t>https://www.odmbologna.it/2021/03/31/la-raccolta-del-consenso-alla-vaccinazione-e-un-atto-medico</w:t>
      </w:r>
    </w:p>
  </w:footnote>
  <w:footnote w:id="2">
    <w:p w:rsidR="000C6BD4" w:rsidRDefault="000C6BD4">
      <w:pPr>
        <w:pStyle w:val="Testonotaapidipagina"/>
      </w:pPr>
      <w:r>
        <w:rPr>
          <w:rStyle w:val="Rimandonotaapidipagina"/>
        </w:rPr>
        <w:footnoteRef/>
      </w:r>
      <w:r>
        <w:t xml:space="preserve"> </w:t>
      </w:r>
      <w:r w:rsidRPr="000C6BD4">
        <w:t>https://www.aifa.gov.it/documents/20142/1315190/Rapporto_annuale_su_sicurezza_vaccini%20anti-COVID-19.pdf</w:t>
      </w:r>
    </w:p>
  </w:footnote>
  <w:footnote w:id="3">
    <w:p w:rsidR="00766CE9" w:rsidRDefault="00766CE9">
      <w:pPr>
        <w:pStyle w:val="Testonotaapidipagina"/>
      </w:pPr>
      <w:r>
        <w:rPr>
          <w:rStyle w:val="Rimandonotaapidipagina"/>
        </w:rPr>
        <w:footnoteRef/>
      </w:r>
      <w:r>
        <w:t xml:space="preserve"> </w:t>
      </w:r>
      <w:r w:rsidRPr="00766CE9">
        <w:t>https://www.aifa.gov.it/documents/20142/1315190/Rapporto_sorveglianza_vaccini_COVID-19_3.pdf</w:t>
      </w:r>
    </w:p>
  </w:footnote>
  <w:footnote w:id="4">
    <w:p w:rsidR="006C7B9E" w:rsidRDefault="006C7B9E" w:rsidP="006C7B9E">
      <w:pPr>
        <w:pStyle w:val="FootnoteText1"/>
        <w:jc w:val="both"/>
        <w:rPr>
          <w:rFonts w:ascii="Arial" w:eastAsia="Times Roman" w:hAnsi="Arial" w:cs="Arial"/>
          <w:sz w:val="20"/>
          <w:szCs w:val="20"/>
        </w:rPr>
      </w:pPr>
      <w:r>
        <w:rPr>
          <w:rStyle w:val="Caratterinotaapidipagina"/>
        </w:rPr>
        <w:footnoteRef/>
      </w:r>
      <w:r>
        <w:rPr>
          <w:rFonts w:ascii="Arial" w:hAnsi="Arial" w:cs="Arial"/>
          <w:sz w:val="20"/>
          <w:szCs w:val="20"/>
        </w:rPr>
        <w:t xml:space="preserve"> Al fine di favorire la partecipazione a programmi di prevenzione di provata efficacia, di garantire l'accesso all'assistenza sanitaria di base, nonché' di assicurare il ricorso all'assistenza ospedaliera ogniqualvolta il trattamento in regime di ricovero ordinario risulti appropriato rispetto alle specifiche condizioni di salute, sono escluse dal sistema di partecipazione al costo e, quindi, erogate senza oneri a carico dell'assistito al momento della fruizione:</w:t>
      </w:r>
    </w:p>
    <w:p w:rsidR="006C7B9E" w:rsidRDefault="006C7B9E" w:rsidP="006C7B9E">
      <w:pPr>
        <w:pStyle w:val="FootnoteText1"/>
        <w:jc w:val="both"/>
        <w:rPr>
          <w:rFonts w:ascii="Arial" w:hAnsi="Arial" w:cs="Arial"/>
          <w:sz w:val="20"/>
          <w:szCs w:val="20"/>
        </w:rPr>
      </w:pPr>
      <w:r>
        <w:rPr>
          <w:rFonts w:ascii="Arial" w:hAnsi="Arial" w:cs="Arial"/>
          <w:sz w:val="20"/>
          <w:szCs w:val="20"/>
        </w:rPr>
        <w:t xml:space="preserve">[…] b) le prestazioni di diagnostica strumentale e di laboratorio e le altre prestazioni di assistenza specialistica finalizzate alla tutela della salute collettiva </w:t>
      </w:r>
      <w:r>
        <w:rPr>
          <w:rFonts w:ascii="Arial" w:hAnsi="Arial" w:cs="Arial"/>
          <w:b/>
          <w:bCs/>
          <w:sz w:val="20"/>
          <w:szCs w:val="20"/>
        </w:rPr>
        <w:t>obbligatorie per legge o disposte a livello locale in caso di situazioni epidemiche</w:t>
      </w:r>
      <w:r>
        <w:rPr>
          <w:rFonts w:ascii="Arial" w:hAnsi="Arial" w:cs="Arial"/>
          <w:sz w:val="20"/>
          <w:szCs w:val="20"/>
        </w:rPr>
        <w:t>, nonché' quelle finalizzate all’avviamento al lavoro derivanti da obblighi di legge;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F92"/>
    <w:multiLevelType w:val="hybridMultilevel"/>
    <w:tmpl w:val="11F8D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D23AB"/>
    <w:multiLevelType w:val="multilevel"/>
    <w:tmpl w:val="F1C4AB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4C7721"/>
    <w:rsid w:val="000C6BD4"/>
    <w:rsid w:val="00117356"/>
    <w:rsid w:val="00156218"/>
    <w:rsid w:val="002610DB"/>
    <w:rsid w:val="0026687A"/>
    <w:rsid w:val="00275937"/>
    <w:rsid w:val="002A2D04"/>
    <w:rsid w:val="00300491"/>
    <w:rsid w:val="004C7721"/>
    <w:rsid w:val="004E4106"/>
    <w:rsid w:val="00554FEB"/>
    <w:rsid w:val="005912A8"/>
    <w:rsid w:val="005B17D6"/>
    <w:rsid w:val="0067297D"/>
    <w:rsid w:val="006A579A"/>
    <w:rsid w:val="006C623C"/>
    <w:rsid w:val="006C7B9E"/>
    <w:rsid w:val="00736100"/>
    <w:rsid w:val="00766CE9"/>
    <w:rsid w:val="008069C5"/>
    <w:rsid w:val="0083330C"/>
    <w:rsid w:val="008417EE"/>
    <w:rsid w:val="00856C70"/>
    <w:rsid w:val="008F19A7"/>
    <w:rsid w:val="00907029"/>
    <w:rsid w:val="0091725B"/>
    <w:rsid w:val="00972FFF"/>
    <w:rsid w:val="009A0884"/>
    <w:rsid w:val="009C2B2E"/>
    <w:rsid w:val="00A2046B"/>
    <w:rsid w:val="00A415E3"/>
    <w:rsid w:val="00A41712"/>
    <w:rsid w:val="00B67264"/>
    <w:rsid w:val="00C31FDD"/>
    <w:rsid w:val="00C91662"/>
    <w:rsid w:val="00E0053E"/>
    <w:rsid w:val="00E642F5"/>
    <w:rsid w:val="00EB05A4"/>
    <w:rsid w:val="00F40285"/>
    <w:rsid w:val="00FC0B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E3"/>
    <w:rPr>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4C7721"/>
    <w:pPr>
      <w:suppressAutoHyphens/>
      <w:textAlignment w:val="baseline"/>
    </w:pPr>
    <w:rPr>
      <w:sz w:val="22"/>
      <w:szCs w:val="22"/>
      <w:lang w:val="it-IT" w:eastAsia="en-US"/>
    </w:rPr>
  </w:style>
  <w:style w:type="paragraph" w:styleId="Paragrafoelenco">
    <w:name w:val="List Paragraph"/>
    <w:basedOn w:val="Normale"/>
    <w:qFormat/>
    <w:rsid w:val="004C7721"/>
    <w:pPr>
      <w:suppressAutoHyphens/>
      <w:spacing w:after="160" w:line="254" w:lineRule="auto"/>
      <w:ind w:left="720"/>
      <w:textAlignment w:val="baseline"/>
    </w:pPr>
    <w:rPr>
      <w:sz w:val="22"/>
      <w:szCs w:val="22"/>
    </w:rPr>
  </w:style>
  <w:style w:type="paragraph" w:styleId="Revisione">
    <w:name w:val="Revision"/>
    <w:hidden/>
    <w:uiPriority w:val="99"/>
    <w:semiHidden/>
    <w:rsid w:val="004C7721"/>
    <w:rPr>
      <w:sz w:val="24"/>
      <w:szCs w:val="24"/>
      <w:lang w:val="it-IT" w:eastAsia="en-US"/>
    </w:rPr>
  </w:style>
  <w:style w:type="character" w:styleId="Collegamentoipertestuale">
    <w:name w:val="Hyperlink"/>
    <w:basedOn w:val="Carpredefinitoparagrafo"/>
    <w:uiPriority w:val="99"/>
    <w:unhideWhenUsed/>
    <w:rsid w:val="0083330C"/>
    <w:rPr>
      <w:color w:val="0563C1" w:themeColor="hyperlink"/>
      <w:u w:val="single"/>
    </w:rPr>
  </w:style>
  <w:style w:type="character" w:customStyle="1" w:styleId="UnresolvedMention">
    <w:name w:val="Unresolved Mention"/>
    <w:basedOn w:val="Carpredefinitoparagrafo"/>
    <w:uiPriority w:val="99"/>
    <w:semiHidden/>
    <w:unhideWhenUsed/>
    <w:rsid w:val="0083330C"/>
    <w:rPr>
      <w:color w:val="605E5C"/>
      <w:shd w:val="clear" w:color="auto" w:fill="E1DFDD"/>
    </w:rPr>
  </w:style>
  <w:style w:type="character" w:customStyle="1" w:styleId="Richiamoallanotaapidipagina">
    <w:name w:val="Richiamo alla nota a piè di pagina"/>
    <w:rsid w:val="006C7B9E"/>
    <w:rPr>
      <w:vertAlign w:val="superscript"/>
    </w:rPr>
  </w:style>
  <w:style w:type="character" w:customStyle="1" w:styleId="Caratterinotaapidipagina">
    <w:name w:val="Caratteri nota a piè di pagina"/>
    <w:qFormat/>
    <w:rsid w:val="006C7B9E"/>
  </w:style>
  <w:style w:type="paragraph" w:customStyle="1" w:styleId="Didefault">
    <w:name w:val="Di default"/>
    <w:qFormat/>
    <w:rsid w:val="006C7B9E"/>
    <w:pPr>
      <w:suppressAutoHyphens/>
    </w:pPr>
    <w:rPr>
      <w:rFonts w:ascii="Helvetica Neue" w:eastAsia="Arial Unicode MS" w:hAnsi="Helvetica Neue" w:cs="Arial Unicode MS"/>
      <w:color w:val="000000"/>
      <w:sz w:val="22"/>
      <w:szCs w:val="22"/>
      <w:lang w:val="it-IT" w:eastAsia="it-IT"/>
    </w:rPr>
  </w:style>
  <w:style w:type="paragraph" w:customStyle="1" w:styleId="FootnoteText1">
    <w:name w:val="Footnote Text1"/>
    <w:rsid w:val="006C7B9E"/>
    <w:pPr>
      <w:suppressAutoHyphens/>
    </w:pPr>
    <w:rPr>
      <w:rFonts w:ascii="Helvetica Neue" w:eastAsia="Helvetica Neue" w:hAnsi="Helvetica Neue" w:cs="Helvetica Neue"/>
      <w:color w:val="000000"/>
      <w:sz w:val="22"/>
      <w:szCs w:val="22"/>
      <w:lang w:val="it-IT" w:eastAsia="it-IT"/>
    </w:rPr>
  </w:style>
  <w:style w:type="paragraph" w:styleId="Testonotaapidipagina">
    <w:name w:val="footnote text"/>
    <w:basedOn w:val="Normale"/>
    <w:link w:val="TestonotaapidipaginaCarattere"/>
    <w:uiPriority w:val="99"/>
    <w:semiHidden/>
    <w:unhideWhenUsed/>
    <w:rsid w:val="00766CE9"/>
    <w:rPr>
      <w:sz w:val="20"/>
      <w:szCs w:val="20"/>
    </w:rPr>
  </w:style>
  <w:style w:type="character" w:customStyle="1" w:styleId="TestonotaapidipaginaCarattere">
    <w:name w:val="Testo nota a piè di pagina Carattere"/>
    <w:basedOn w:val="Carpredefinitoparagrafo"/>
    <w:link w:val="Testonotaapidipagina"/>
    <w:uiPriority w:val="99"/>
    <w:semiHidden/>
    <w:rsid w:val="00766CE9"/>
    <w:rPr>
      <w:lang w:val="it-IT" w:eastAsia="en-US"/>
    </w:rPr>
  </w:style>
  <w:style w:type="character" w:styleId="Rimandonotaapidipagina">
    <w:name w:val="footnote reference"/>
    <w:basedOn w:val="Carpredefinitoparagrafo"/>
    <w:uiPriority w:val="99"/>
    <w:semiHidden/>
    <w:unhideWhenUsed/>
    <w:rsid w:val="00766C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rrepor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10312</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Claudio</dc:creator>
  <cp:lastModifiedBy>Comilva</cp:lastModifiedBy>
  <cp:revision>2</cp:revision>
  <cp:lastPrinted>2022-01-26T20:49:00Z</cp:lastPrinted>
  <dcterms:created xsi:type="dcterms:W3CDTF">2022-03-22T14:49:00Z</dcterms:created>
  <dcterms:modified xsi:type="dcterms:W3CDTF">2022-03-22T14:49:00Z</dcterms:modified>
</cp:coreProperties>
</file>